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84832" w14:textId="77777777" w:rsidR="000F5374" w:rsidRPr="00190219" w:rsidRDefault="000F5374" w:rsidP="00E6643A">
      <w:pPr>
        <w:jc w:val="center"/>
        <w:rPr>
          <w:rFonts w:ascii="Humnst777 BT" w:hAnsi="Humnst777 BT" w:cs="Arial"/>
          <w:b/>
          <w:sz w:val="32"/>
        </w:rPr>
      </w:pPr>
      <w:bookmarkStart w:id="0" w:name="_GoBack"/>
      <w:bookmarkEnd w:id="0"/>
      <w:r w:rsidRPr="00190219">
        <w:rPr>
          <w:rFonts w:ascii="Humnst777 BT" w:hAnsi="Humnst777 BT" w:cs="Arial"/>
          <w:b/>
          <w:sz w:val="32"/>
        </w:rPr>
        <w:t>Gebrauchsinformation</w:t>
      </w:r>
    </w:p>
    <w:p w14:paraId="40667ECE" w14:textId="77777777" w:rsidR="000F5374" w:rsidRPr="00190219" w:rsidRDefault="000F5374" w:rsidP="00E6643A">
      <w:pPr>
        <w:jc w:val="center"/>
        <w:rPr>
          <w:rFonts w:ascii="Humnst777 BT" w:hAnsi="Humnst777 BT" w:cs="Arial"/>
        </w:rPr>
      </w:pPr>
    </w:p>
    <w:p w14:paraId="371B7A1B" w14:textId="5EC776C1" w:rsidR="00D57AC5" w:rsidRPr="00190219" w:rsidRDefault="00A505A4" w:rsidP="00E6643A">
      <w:pPr>
        <w:jc w:val="center"/>
        <w:rPr>
          <w:rFonts w:ascii="Humnst777 BT" w:hAnsi="Humnst777 BT" w:cs="Arial"/>
          <w:b/>
          <w:sz w:val="32"/>
        </w:rPr>
      </w:pPr>
      <w:r w:rsidRPr="00190219">
        <w:rPr>
          <w:rFonts w:ascii="Humnst777 BT" w:hAnsi="Humnst777 BT" w:cs="Arial"/>
          <w:b/>
          <w:sz w:val="32"/>
        </w:rPr>
        <w:t>Dexavet</w:t>
      </w:r>
      <w:r w:rsidR="00AB04F0" w:rsidRPr="00AB04F0">
        <w:rPr>
          <w:rFonts w:ascii="Humnst777 BT" w:hAnsi="Humnst777 BT" w:cs="Arial"/>
          <w:b/>
          <w:sz w:val="32"/>
          <w:vertAlign w:val="superscript"/>
        </w:rPr>
        <w:t>®</w:t>
      </w:r>
      <w:r w:rsidRPr="00190219">
        <w:rPr>
          <w:rFonts w:ascii="Humnst777 BT" w:hAnsi="Humnst777 BT" w:cs="Arial"/>
          <w:b/>
          <w:sz w:val="32"/>
        </w:rPr>
        <w:t xml:space="preserve"> </w:t>
      </w:r>
      <w:r w:rsidR="00794C94" w:rsidRPr="00190219">
        <w:rPr>
          <w:rFonts w:ascii="Humnst777 BT" w:hAnsi="Humnst777 BT" w:cs="Arial"/>
          <w:b/>
          <w:sz w:val="32"/>
        </w:rPr>
        <w:t>1 mg /</w:t>
      </w:r>
      <w:r w:rsidR="003020A6" w:rsidRPr="00190219">
        <w:rPr>
          <w:rFonts w:ascii="Humnst777 BT" w:hAnsi="Humnst777 BT" w:cs="Arial"/>
          <w:b/>
          <w:sz w:val="32"/>
        </w:rPr>
        <w:t>m</w:t>
      </w:r>
      <w:r w:rsidR="00934334" w:rsidRPr="00190219">
        <w:rPr>
          <w:rFonts w:ascii="Humnst777 BT" w:hAnsi="Humnst777 BT" w:cs="Arial"/>
          <w:b/>
          <w:sz w:val="32"/>
        </w:rPr>
        <w:t>l</w:t>
      </w:r>
      <w:r w:rsidRPr="00190219">
        <w:rPr>
          <w:rFonts w:ascii="Humnst777 BT" w:hAnsi="Humnst777 BT" w:cs="Arial"/>
          <w:b/>
          <w:sz w:val="32"/>
        </w:rPr>
        <w:t xml:space="preserve"> </w:t>
      </w:r>
      <w:r w:rsidR="00F95B7D" w:rsidRPr="00190219">
        <w:rPr>
          <w:rFonts w:ascii="Humnst777 BT" w:hAnsi="Humnst777 BT" w:cs="Arial"/>
          <w:b/>
          <w:sz w:val="32"/>
        </w:rPr>
        <w:br/>
      </w:r>
      <w:r w:rsidRPr="00190219">
        <w:rPr>
          <w:rFonts w:ascii="Humnst777 BT" w:hAnsi="Humnst777 BT" w:cs="Arial"/>
          <w:b/>
          <w:sz w:val="32"/>
        </w:rPr>
        <w:t xml:space="preserve">Augentropfen </w:t>
      </w:r>
      <w:r w:rsidR="00D57AC5" w:rsidRPr="00190219">
        <w:rPr>
          <w:rFonts w:ascii="Humnst777 BT" w:hAnsi="Humnst777 BT" w:cs="Arial"/>
          <w:b/>
          <w:sz w:val="32"/>
        </w:rPr>
        <w:t>für Hunde und Katzen</w:t>
      </w:r>
    </w:p>
    <w:p w14:paraId="34282C69" w14:textId="77777777" w:rsidR="00397721" w:rsidRPr="00190219" w:rsidRDefault="00397721" w:rsidP="00E6643A">
      <w:pPr>
        <w:jc w:val="both"/>
        <w:rPr>
          <w:rFonts w:ascii="Humnst777 BT" w:hAnsi="Humnst777 BT" w:cs="Arial"/>
        </w:rPr>
      </w:pPr>
    </w:p>
    <w:p w14:paraId="043C8061" w14:textId="77777777" w:rsidR="00397721" w:rsidRPr="00190219" w:rsidRDefault="00397721" w:rsidP="00E6643A">
      <w:pPr>
        <w:jc w:val="both"/>
        <w:rPr>
          <w:rFonts w:ascii="Humnst777 BT" w:hAnsi="Humnst777 BT" w:cs="Arial"/>
          <w:b/>
        </w:rPr>
      </w:pPr>
      <w:r w:rsidRPr="00190219">
        <w:rPr>
          <w:rFonts w:ascii="Humnst777 BT" w:hAnsi="Humnst777 BT" w:cs="Arial"/>
          <w:b/>
        </w:rPr>
        <w:t>Name und Anschrift des Zulassungsinhabers und, wenn unterschiedlich des Herstellers, der für die Chargenfreigabe verantwortlich ist</w:t>
      </w:r>
    </w:p>
    <w:p w14:paraId="7D8B036D" w14:textId="77777777" w:rsidR="001B398B" w:rsidRPr="00190219" w:rsidRDefault="001B398B" w:rsidP="00E6643A">
      <w:pPr>
        <w:jc w:val="both"/>
        <w:rPr>
          <w:rFonts w:ascii="Humnst777 BT" w:hAnsi="Humnst777 BT" w:cs="Arial"/>
        </w:rPr>
      </w:pPr>
      <w:r w:rsidRPr="00190219">
        <w:rPr>
          <w:rFonts w:ascii="Humnst777 BT" w:hAnsi="Humnst777 BT" w:cs="Arial"/>
        </w:rPr>
        <w:t xml:space="preserve">CP-Pharma Handelsgesellschaft mbH </w:t>
      </w:r>
    </w:p>
    <w:p w14:paraId="590F55DF" w14:textId="77777777" w:rsidR="001B398B" w:rsidRPr="00190219" w:rsidRDefault="001B398B" w:rsidP="00E6643A">
      <w:pPr>
        <w:jc w:val="both"/>
        <w:rPr>
          <w:rFonts w:ascii="Humnst777 BT" w:hAnsi="Humnst777 BT" w:cs="Arial"/>
        </w:rPr>
      </w:pPr>
      <w:r w:rsidRPr="00190219">
        <w:rPr>
          <w:rFonts w:ascii="Humnst777 BT" w:hAnsi="Humnst777 BT" w:cs="Arial"/>
        </w:rPr>
        <w:t>Ostlandring 13</w:t>
      </w:r>
    </w:p>
    <w:p w14:paraId="3C5E2DCB" w14:textId="77777777" w:rsidR="001B398B" w:rsidRPr="00190219" w:rsidRDefault="001B398B" w:rsidP="00E6643A">
      <w:pPr>
        <w:jc w:val="both"/>
        <w:rPr>
          <w:rFonts w:ascii="Humnst777 BT" w:hAnsi="Humnst777 BT" w:cs="Arial"/>
        </w:rPr>
      </w:pPr>
      <w:r w:rsidRPr="00190219">
        <w:rPr>
          <w:rFonts w:ascii="Humnst777 BT" w:hAnsi="Humnst777 BT" w:cs="Arial"/>
        </w:rPr>
        <w:t>31303 Burgdorf</w:t>
      </w:r>
    </w:p>
    <w:p w14:paraId="040FA02A" w14:textId="77777777" w:rsidR="00397721" w:rsidRPr="00190219" w:rsidRDefault="00397721" w:rsidP="00E6643A">
      <w:pPr>
        <w:jc w:val="both"/>
        <w:rPr>
          <w:rFonts w:ascii="Humnst777 BT" w:hAnsi="Humnst777 BT" w:cs="Arial"/>
          <w:b/>
          <w:u w:val="single"/>
        </w:rPr>
      </w:pPr>
    </w:p>
    <w:p w14:paraId="66800F72" w14:textId="77777777" w:rsidR="00397721" w:rsidRPr="00190219" w:rsidRDefault="00397721" w:rsidP="00E6643A">
      <w:pPr>
        <w:jc w:val="both"/>
        <w:rPr>
          <w:rFonts w:ascii="Humnst777 BT" w:hAnsi="Humnst777 BT" w:cs="Arial"/>
          <w:b/>
          <w:u w:val="single"/>
        </w:rPr>
      </w:pPr>
    </w:p>
    <w:p w14:paraId="59DD7E5A" w14:textId="77777777" w:rsidR="00397721" w:rsidRPr="00190219" w:rsidRDefault="00397721" w:rsidP="00E6643A">
      <w:pPr>
        <w:jc w:val="both"/>
        <w:rPr>
          <w:rFonts w:ascii="Humnst777 BT" w:hAnsi="Humnst777 BT" w:cs="Arial"/>
          <w:b/>
        </w:rPr>
      </w:pPr>
      <w:r w:rsidRPr="00190219">
        <w:rPr>
          <w:rFonts w:ascii="Humnst777 BT" w:hAnsi="Humnst777 BT" w:cs="Arial"/>
          <w:b/>
        </w:rPr>
        <w:t>Bezeichnung des Tierarzneimittels</w:t>
      </w:r>
    </w:p>
    <w:p w14:paraId="72D4CBE8" w14:textId="143BEF28" w:rsidR="00840C25" w:rsidRPr="00190219" w:rsidRDefault="00A505A4" w:rsidP="00E6643A">
      <w:pPr>
        <w:jc w:val="both"/>
        <w:rPr>
          <w:rFonts w:ascii="Humnst777 BT" w:hAnsi="Humnst777 BT" w:cs="Arial"/>
          <w:b/>
          <w:sz w:val="28"/>
        </w:rPr>
      </w:pPr>
      <w:r w:rsidRPr="00190219">
        <w:rPr>
          <w:rFonts w:ascii="Humnst777 BT" w:hAnsi="Humnst777 BT" w:cs="Arial"/>
          <w:b/>
          <w:sz w:val="28"/>
        </w:rPr>
        <w:t>Dexavet</w:t>
      </w:r>
      <w:r w:rsidR="00AB04F0" w:rsidRPr="00AB04F0">
        <w:rPr>
          <w:rFonts w:ascii="Humnst777 BT" w:hAnsi="Humnst777 BT" w:cs="Arial"/>
          <w:b/>
          <w:sz w:val="28"/>
          <w:vertAlign w:val="superscript"/>
        </w:rPr>
        <w:t>®</w:t>
      </w:r>
      <w:r w:rsidRPr="00190219">
        <w:rPr>
          <w:rFonts w:ascii="Humnst777 BT" w:hAnsi="Humnst777 BT" w:cs="Arial"/>
          <w:b/>
          <w:sz w:val="28"/>
        </w:rPr>
        <w:t xml:space="preserve"> 1 mg /ml Augentropfen für Hunde und Katzen</w:t>
      </w:r>
    </w:p>
    <w:p w14:paraId="689F6AE8" w14:textId="77777777" w:rsidR="00840C25" w:rsidRPr="00190219" w:rsidRDefault="00840C25" w:rsidP="00E6643A">
      <w:pPr>
        <w:jc w:val="both"/>
        <w:rPr>
          <w:rFonts w:ascii="Humnst777 BT" w:hAnsi="Humnst777 BT" w:cs="Arial"/>
          <w:b/>
        </w:rPr>
      </w:pPr>
      <w:r w:rsidRPr="00190219">
        <w:rPr>
          <w:rFonts w:ascii="Humnst777 BT" w:hAnsi="Humnst777 BT" w:cs="Arial"/>
          <w:b/>
        </w:rPr>
        <w:t>Dexamethason</w:t>
      </w:r>
    </w:p>
    <w:p w14:paraId="46D52836" w14:textId="0A29D1A7" w:rsidR="00E6643A" w:rsidRPr="00190219" w:rsidRDefault="00E6643A" w:rsidP="00E6643A">
      <w:pPr>
        <w:jc w:val="both"/>
        <w:rPr>
          <w:rFonts w:ascii="Humnst777 BT" w:hAnsi="Humnst777 BT" w:cs="Arial"/>
          <w:b/>
        </w:rPr>
      </w:pPr>
    </w:p>
    <w:p w14:paraId="015CB10A" w14:textId="77777777" w:rsidR="00970C0B" w:rsidRPr="00190219" w:rsidRDefault="00970C0B" w:rsidP="00E6643A">
      <w:pPr>
        <w:jc w:val="both"/>
        <w:rPr>
          <w:rFonts w:ascii="Humnst777 BT" w:hAnsi="Humnst777 BT" w:cs="Arial"/>
          <w:b/>
        </w:rPr>
      </w:pPr>
    </w:p>
    <w:p w14:paraId="7A7488F7" w14:textId="77777777" w:rsidR="001B398B" w:rsidRPr="00190219" w:rsidRDefault="00397721" w:rsidP="00E6643A">
      <w:pPr>
        <w:jc w:val="both"/>
        <w:rPr>
          <w:rFonts w:ascii="Humnst777 BT" w:hAnsi="Humnst777 BT" w:cs="Arial"/>
          <w:b/>
        </w:rPr>
      </w:pPr>
      <w:r w:rsidRPr="00190219">
        <w:rPr>
          <w:rFonts w:ascii="Humnst777 BT" w:hAnsi="Humnst777 BT" w:cs="Arial"/>
          <w:b/>
        </w:rPr>
        <w:t>Wirkstoff(e) und sonstige Bestandteile</w:t>
      </w:r>
    </w:p>
    <w:p w14:paraId="63B75467" w14:textId="77777777" w:rsidR="00F95B7D" w:rsidRPr="00190219" w:rsidRDefault="00F95B7D" w:rsidP="00E6643A">
      <w:pPr>
        <w:jc w:val="both"/>
        <w:rPr>
          <w:rFonts w:ascii="Humnst777 BT" w:hAnsi="Humnst777 BT" w:cs="Arial"/>
        </w:rPr>
      </w:pPr>
      <w:r w:rsidRPr="00190219">
        <w:rPr>
          <w:rFonts w:ascii="Humnst777 BT" w:hAnsi="Humnst777 BT" w:cs="Arial"/>
        </w:rPr>
        <w:t>1 ml enthält:</w:t>
      </w:r>
    </w:p>
    <w:p w14:paraId="0B2DEA2F" w14:textId="77777777" w:rsidR="00800771" w:rsidRPr="00190219" w:rsidRDefault="00800771" w:rsidP="00E6643A">
      <w:pPr>
        <w:jc w:val="both"/>
        <w:rPr>
          <w:rFonts w:ascii="Humnst777 BT" w:hAnsi="Humnst777 BT" w:cs="Arial"/>
        </w:rPr>
      </w:pPr>
    </w:p>
    <w:p w14:paraId="7B7DBCBA" w14:textId="77777777" w:rsidR="00DF1820" w:rsidRPr="00190219" w:rsidRDefault="00397721" w:rsidP="00E6643A">
      <w:pPr>
        <w:jc w:val="both"/>
        <w:rPr>
          <w:rFonts w:ascii="Humnst777 BT" w:hAnsi="Humnst777 BT" w:cs="Arial"/>
          <w:i/>
        </w:rPr>
      </w:pPr>
      <w:r w:rsidRPr="00190219">
        <w:rPr>
          <w:rFonts w:ascii="Humnst777 BT" w:hAnsi="Humnst777 BT" w:cs="Arial"/>
          <w:i/>
        </w:rPr>
        <w:t>Wirkstoff(e):</w:t>
      </w:r>
    </w:p>
    <w:p w14:paraId="21BE197E" w14:textId="77777777" w:rsidR="00C77212" w:rsidRPr="00190219" w:rsidRDefault="00C77212" w:rsidP="00E6643A">
      <w:pPr>
        <w:jc w:val="both"/>
        <w:rPr>
          <w:rFonts w:ascii="Humnst777 BT" w:hAnsi="Humnst777 BT" w:cs="Arial"/>
        </w:rPr>
      </w:pPr>
      <w:r w:rsidRPr="00190219">
        <w:rPr>
          <w:rFonts w:ascii="Humnst777 BT" w:hAnsi="Humnst777 BT" w:cs="Arial"/>
        </w:rPr>
        <w:t xml:space="preserve">Dexamethason: </w:t>
      </w:r>
      <w:r w:rsidR="00F95B7D" w:rsidRPr="00190219">
        <w:rPr>
          <w:rFonts w:ascii="Humnst777 BT" w:hAnsi="Humnst777 BT" w:cs="Arial"/>
        </w:rPr>
        <w:tab/>
      </w:r>
      <w:r w:rsidR="00F95B7D" w:rsidRPr="00190219">
        <w:rPr>
          <w:rFonts w:ascii="Humnst777 BT" w:hAnsi="Humnst777 BT" w:cs="Arial"/>
        </w:rPr>
        <w:tab/>
      </w:r>
      <w:r w:rsidR="00F95B7D" w:rsidRPr="00190219">
        <w:rPr>
          <w:rFonts w:ascii="Humnst777 BT" w:hAnsi="Humnst777 BT" w:cs="Arial"/>
        </w:rPr>
        <w:tab/>
        <w:t xml:space="preserve"> </w:t>
      </w:r>
      <w:r w:rsidRPr="00190219">
        <w:rPr>
          <w:rFonts w:ascii="Humnst777 BT" w:hAnsi="Humnst777 BT" w:cs="Arial"/>
        </w:rPr>
        <w:t>1,0 mg</w:t>
      </w:r>
    </w:p>
    <w:p w14:paraId="14E4BC3C" w14:textId="7B67729E" w:rsidR="00C77212" w:rsidRPr="00190219" w:rsidRDefault="00C77212" w:rsidP="00E6643A">
      <w:pPr>
        <w:jc w:val="both"/>
        <w:rPr>
          <w:rFonts w:ascii="Humnst777 BT" w:hAnsi="Humnst777 BT" w:cs="Arial"/>
        </w:rPr>
      </w:pPr>
      <w:r w:rsidRPr="00190219">
        <w:rPr>
          <w:rFonts w:ascii="Humnst777 BT" w:hAnsi="Humnst777 BT" w:cs="Arial"/>
        </w:rPr>
        <w:t>(entspr</w:t>
      </w:r>
      <w:r w:rsidR="00F95B7D" w:rsidRPr="00190219">
        <w:rPr>
          <w:rFonts w:ascii="Humnst777 BT" w:hAnsi="Humnst777 BT" w:cs="Arial"/>
        </w:rPr>
        <w:t>. Dexamethason</w:t>
      </w:r>
      <w:r w:rsidR="00800771" w:rsidRPr="00190219">
        <w:rPr>
          <w:rFonts w:ascii="Humnst777 BT" w:hAnsi="Humnst777 BT" w:cs="Arial"/>
        </w:rPr>
        <w:t>dihydrogenphosphat</w:t>
      </w:r>
      <w:r w:rsidR="00E6643A" w:rsidRPr="00190219">
        <w:rPr>
          <w:rFonts w:ascii="Humnst777 BT" w:hAnsi="Humnst777 BT" w:cs="Arial"/>
        </w:rPr>
        <w:t>-</w:t>
      </w:r>
      <w:r w:rsidR="00800771" w:rsidRPr="00190219">
        <w:rPr>
          <w:rFonts w:ascii="Humnst777 BT" w:hAnsi="Humnst777 BT" w:cs="Arial"/>
        </w:rPr>
        <w:t>Di</w:t>
      </w:r>
      <w:r w:rsidR="00E6643A" w:rsidRPr="00190219">
        <w:rPr>
          <w:rFonts w:ascii="Humnst777 BT" w:hAnsi="Humnst777 BT" w:cs="Arial"/>
        </w:rPr>
        <w:t>n</w:t>
      </w:r>
      <w:r w:rsidR="00F95B7D" w:rsidRPr="00190219">
        <w:rPr>
          <w:rFonts w:ascii="Humnst777 BT" w:hAnsi="Humnst777 BT" w:cs="Arial"/>
        </w:rPr>
        <w:t>atrium</w:t>
      </w:r>
      <w:r w:rsidRPr="00190219">
        <w:rPr>
          <w:rFonts w:ascii="Humnst777 BT" w:hAnsi="Humnst777 BT" w:cs="Arial"/>
        </w:rPr>
        <w:t xml:space="preserve"> 1,32 mg)</w:t>
      </w:r>
    </w:p>
    <w:p w14:paraId="26160BE3" w14:textId="77777777" w:rsidR="00397721" w:rsidRPr="00190219" w:rsidRDefault="00397721" w:rsidP="00E6643A">
      <w:pPr>
        <w:jc w:val="both"/>
        <w:rPr>
          <w:rFonts w:ascii="Humnst777 BT" w:hAnsi="Humnst777 BT" w:cs="Arial"/>
        </w:rPr>
      </w:pPr>
    </w:p>
    <w:p w14:paraId="36D2BEE2" w14:textId="77777777" w:rsidR="00397721" w:rsidRPr="00190219" w:rsidRDefault="00397721" w:rsidP="00E6643A">
      <w:pPr>
        <w:jc w:val="both"/>
        <w:rPr>
          <w:rFonts w:ascii="Humnst777 BT" w:hAnsi="Humnst777 BT" w:cs="Arial"/>
          <w:i/>
        </w:rPr>
      </w:pPr>
      <w:r w:rsidRPr="00190219">
        <w:rPr>
          <w:rFonts w:ascii="Humnst777 BT" w:hAnsi="Humnst777 BT" w:cs="Arial"/>
          <w:i/>
        </w:rPr>
        <w:t>Sonstige Bestandteile, deren Kenntnis für eine zweckgemäße Verabreichung des Mittels erforderlich ist:</w:t>
      </w:r>
    </w:p>
    <w:p w14:paraId="4DF1BF83" w14:textId="77777777" w:rsidR="000F5374" w:rsidRPr="00190219" w:rsidRDefault="000F5374" w:rsidP="00E6643A">
      <w:pPr>
        <w:jc w:val="both"/>
        <w:rPr>
          <w:rFonts w:ascii="Humnst777 BT" w:hAnsi="Humnst777 BT" w:cs="Arial"/>
        </w:rPr>
      </w:pPr>
      <w:r w:rsidRPr="00190219">
        <w:rPr>
          <w:rFonts w:ascii="Humnst777 BT" w:hAnsi="Humnst777 BT" w:cs="Arial"/>
        </w:rPr>
        <w:t>Benzalkoniumchlorid:</w:t>
      </w:r>
      <w:r w:rsidR="00F95B7D" w:rsidRPr="00190219">
        <w:rPr>
          <w:rFonts w:ascii="Humnst777 BT" w:hAnsi="Humnst777 BT" w:cs="Arial"/>
        </w:rPr>
        <w:tab/>
      </w:r>
      <w:r w:rsidR="00F95B7D" w:rsidRPr="00190219">
        <w:rPr>
          <w:rFonts w:ascii="Humnst777 BT" w:hAnsi="Humnst777 BT" w:cs="Arial"/>
        </w:rPr>
        <w:tab/>
        <w:t>0,04 mg</w:t>
      </w:r>
    </w:p>
    <w:p w14:paraId="4E4CF582" w14:textId="77777777" w:rsidR="00E6643A" w:rsidRPr="00190219" w:rsidRDefault="00E6643A" w:rsidP="00E6643A">
      <w:pPr>
        <w:jc w:val="both"/>
        <w:rPr>
          <w:rFonts w:ascii="Humnst777 BT" w:hAnsi="Humnst777 BT" w:cs="Arial"/>
        </w:rPr>
      </w:pPr>
    </w:p>
    <w:p w14:paraId="79734BCC" w14:textId="77777777" w:rsidR="00397721" w:rsidRPr="00190219" w:rsidRDefault="00E6643A" w:rsidP="00E6643A">
      <w:pPr>
        <w:jc w:val="both"/>
        <w:rPr>
          <w:rFonts w:ascii="Humnst777 BT" w:hAnsi="Humnst777 BT" w:cs="Arial"/>
        </w:rPr>
      </w:pPr>
      <w:r w:rsidRPr="00190219">
        <w:rPr>
          <w:rFonts w:ascii="Humnst777 BT" w:hAnsi="Humnst777 BT" w:cs="Arial"/>
        </w:rPr>
        <w:t>Klare, nahezu farblose Lösung.</w:t>
      </w:r>
    </w:p>
    <w:p w14:paraId="572FCD90" w14:textId="77777777" w:rsidR="00E6643A" w:rsidRPr="00190219" w:rsidRDefault="00E6643A" w:rsidP="00E6643A">
      <w:pPr>
        <w:jc w:val="both"/>
        <w:rPr>
          <w:rFonts w:ascii="Humnst777 BT" w:hAnsi="Humnst777 BT" w:cs="Arial"/>
        </w:rPr>
      </w:pPr>
    </w:p>
    <w:p w14:paraId="5FEE0246" w14:textId="77777777" w:rsidR="00DF1820" w:rsidRPr="00190219" w:rsidRDefault="00397721" w:rsidP="00E6643A">
      <w:pPr>
        <w:jc w:val="both"/>
        <w:rPr>
          <w:rFonts w:ascii="Humnst777 BT" w:hAnsi="Humnst777 BT" w:cs="Arial"/>
          <w:b/>
        </w:rPr>
      </w:pPr>
      <w:r w:rsidRPr="00190219">
        <w:rPr>
          <w:rFonts w:ascii="Humnst777 BT" w:hAnsi="Humnst777 BT" w:cs="Arial"/>
          <w:b/>
        </w:rPr>
        <w:t>Anwendungsgebiet(e)</w:t>
      </w:r>
    </w:p>
    <w:p w14:paraId="73F191EA" w14:textId="5C00770A" w:rsidR="00397721" w:rsidRPr="00190219" w:rsidRDefault="00D30008" w:rsidP="00E6643A">
      <w:pPr>
        <w:jc w:val="both"/>
        <w:rPr>
          <w:rFonts w:ascii="Humnst777 BT" w:hAnsi="Humnst777 BT" w:cs="Arial"/>
          <w:lang w:bidi="de-DE"/>
        </w:rPr>
      </w:pPr>
      <w:r w:rsidRPr="00190219">
        <w:rPr>
          <w:rFonts w:ascii="Humnst777 BT" w:hAnsi="Humnst777 BT" w:cs="Arial"/>
          <w:lang w:bidi="de-DE"/>
        </w:rPr>
        <w:lastRenderedPageBreak/>
        <w:t>Zur Behandlung von nicht infizierten, allergischen und immunologisch bedingten Erkrankungen des Auges wie Konjunktivitis, Keratitis, leichte Iritis. Zur Verminderung der Narbenbildung nach Hornhautulcus und anderen postoperativen Zuständen.</w:t>
      </w:r>
    </w:p>
    <w:p w14:paraId="18E3B37F" w14:textId="77777777" w:rsidR="00970C0B" w:rsidRPr="00190219" w:rsidRDefault="00970C0B" w:rsidP="00E6643A">
      <w:pPr>
        <w:jc w:val="both"/>
        <w:rPr>
          <w:rFonts w:ascii="Humnst777 BT" w:hAnsi="Humnst777 BT" w:cs="Arial"/>
        </w:rPr>
      </w:pPr>
    </w:p>
    <w:p w14:paraId="1577A0C4" w14:textId="77777777" w:rsidR="00DF1820" w:rsidRPr="00190219" w:rsidRDefault="00397721" w:rsidP="00E6643A">
      <w:pPr>
        <w:jc w:val="both"/>
        <w:rPr>
          <w:rFonts w:ascii="Humnst777 BT" w:hAnsi="Humnst777 BT" w:cs="Arial"/>
          <w:b/>
        </w:rPr>
      </w:pPr>
      <w:r w:rsidRPr="00190219">
        <w:rPr>
          <w:rFonts w:ascii="Humnst777 BT" w:hAnsi="Humnst777 BT" w:cs="Arial"/>
          <w:b/>
        </w:rPr>
        <w:t>Gegenanzeigen</w:t>
      </w:r>
    </w:p>
    <w:p w14:paraId="295F4244" w14:textId="77777777" w:rsidR="00E6643A" w:rsidRPr="00190219" w:rsidRDefault="00E6643A" w:rsidP="00E6643A">
      <w:pPr>
        <w:jc w:val="both"/>
        <w:rPr>
          <w:rFonts w:ascii="Humnst777 BT" w:hAnsi="Humnst777 BT" w:cs="Arial"/>
          <w:lang w:bidi="de-DE"/>
        </w:rPr>
      </w:pPr>
      <w:r w:rsidRPr="00190219">
        <w:rPr>
          <w:rFonts w:ascii="Humnst777 BT" w:hAnsi="Humnst777 BT" w:cs="Arial"/>
          <w:lang w:bidi="de-DE"/>
        </w:rPr>
        <w:t>Nicht anwenden bei:</w:t>
      </w:r>
    </w:p>
    <w:p w14:paraId="467DF3FC" w14:textId="67D7A72E" w:rsidR="00E6643A" w:rsidRPr="00190219" w:rsidRDefault="00E6643A" w:rsidP="00970C0B">
      <w:pPr>
        <w:numPr>
          <w:ilvl w:val="0"/>
          <w:numId w:val="1"/>
        </w:numPr>
        <w:jc w:val="both"/>
        <w:rPr>
          <w:rFonts w:ascii="Humnst777 BT" w:hAnsi="Humnst777 BT" w:cs="Arial"/>
          <w:lang w:bidi="de-DE"/>
        </w:rPr>
      </w:pPr>
      <w:r w:rsidRPr="00190219">
        <w:rPr>
          <w:rFonts w:ascii="Humnst777 BT" w:hAnsi="Humnst777 BT" w:cs="Arial"/>
          <w:lang w:bidi="de-DE"/>
        </w:rPr>
        <w:t>Virus- und Pilzinfektionen des Auges.</w:t>
      </w:r>
    </w:p>
    <w:p w14:paraId="6905D6BF" w14:textId="590A2665" w:rsidR="00E6643A" w:rsidRPr="00190219" w:rsidRDefault="000777AE" w:rsidP="00970C0B">
      <w:pPr>
        <w:numPr>
          <w:ilvl w:val="0"/>
          <w:numId w:val="1"/>
        </w:numPr>
        <w:jc w:val="both"/>
        <w:rPr>
          <w:rFonts w:ascii="Humnst777 BT" w:hAnsi="Humnst777 BT" w:cs="Arial"/>
          <w:lang w:bidi="de-DE"/>
        </w:rPr>
      </w:pPr>
      <w:r w:rsidRPr="00190219">
        <w:rPr>
          <w:rFonts w:ascii="Humnst777 BT" w:hAnsi="Humnst777 BT" w:cs="Arial"/>
          <w:lang w:bidi="de-DE"/>
        </w:rPr>
        <w:t>Primär bakteriellen Infektionen.</w:t>
      </w:r>
    </w:p>
    <w:p w14:paraId="200C532D" w14:textId="68528FD6" w:rsidR="00E6643A" w:rsidRPr="00190219" w:rsidRDefault="00E6643A" w:rsidP="00970C0B">
      <w:pPr>
        <w:numPr>
          <w:ilvl w:val="0"/>
          <w:numId w:val="1"/>
        </w:numPr>
        <w:jc w:val="both"/>
        <w:rPr>
          <w:rFonts w:ascii="Humnst777 BT" w:hAnsi="Humnst777 BT" w:cs="Arial"/>
          <w:lang w:bidi="de-DE"/>
        </w:rPr>
      </w:pPr>
      <w:r w:rsidRPr="00190219">
        <w:rPr>
          <w:rFonts w:ascii="Humnst777 BT" w:hAnsi="Humnst777 BT" w:cs="Arial"/>
          <w:lang w:bidi="de-DE"/>
        </w:rPr>
        <w:t>Hornhautgeschwüre und Hornhautperforation.</w:t>
      </w:r>
    </w:p>
    <w:p w14:paraId="13DFAD82" w14:textId="7F19C74B" w:rsidR="00397721" w:rsidRPr="00190219" w:rsidRDefault="00E6643A" w:rsidP="00970C0B">
      <w:pPr>
        <w:numPr>
          <w:ilvl w:val="0"/>
          <w:numId w:val="1"/>
        </w:numPr>
        <w:jc w:val="both"/>
        <w:rPr>
          <w:rFonts w:ascii="Humnst777 BT" w:hAnsi="Humnst777 BT" w:cs="Arial"/>
        </w:rPr>
      </w:pPr>
      <w:r w:rsidRPr="00190219">
        <w:rPr>
          <w:rFonts w:ascii="Humnst777 BT" w:hAnsi="Humnst777 BT" w:cs="Arial"/>
          <w:lang w:bidi="de-DE"/>
        </w:rPr>
        <w:t>bei bekannter Überempfindlichkeit gegenüber dem Wirkstoff, den Hilfsstoffen oder einem der sonstigen Bestandteile.</w:t>
      </w:r>
    </w:p>
    <w:p w14:paraId="071004A2" w14:textId="77777777" w:rsidR="00397721" w:rsidRPr="00190219" w:rsidRDefault="00397721" w:rsidP="00E6643A">
      <w:pPr>
        <w:jc w:val="both"/>
        <w:rPr>
          <w:rFonts w:ascii="Humnst777 BT" w:hAnsi="Humnst777 BT" w:cs="Arial"/>
        </w:rPr>
      </w:pPr>
    </w:p>
    <w:p w14:paraId="0C8E7B5E" w14:textId="77777777" w:rsidR="00DF1820" w:rsidRPr="00190219" w:rsidRDefault="00397721" w:rsidP="00E6643A">
      <w:pPr>
        <w:jc w:val="both"/>
        <w:rPr>
          <w:rFonts w:ascii="Humnst777 BT" w:hAnsi="Humnst777 BT" w:cs="Arial"/>
          <w:b/>
        </w:rPr>
      </w:pPr>
      <w:r w:rsidRPr="00190219">
        <w:rPr>
          <w:rFonts w:ascii="Humnst777 BT" w:hAnsi="Humnst777 BT" w:cs="Arial"/>
          <w:b/>
        </w:rPr>
        <w:t>Nebenwirkungen</w:t>
      </w:r>
    </w:p>
    <w:p w14:paraId="04D28F7C" w14:textId="6C2CC6A4" w:rsidR="00E6643A" w:rsidRPr="00190219" w:rsidRDefault="00AA143F" w:rsidP="00E6643A">
      <w:pPr>
        <w:jc w:val="both"/>
        <w:rPr>
          <w:rFonts w:ascii="Humnst777 BT" w:hAnsi="Humnst777 BT" w:cs="Arial"/>
        </w:rPr>
      </w:pPr>
      <w:r w:rsidRPr="00AA143F">
        <w:rPr>
          <w:rFonts w:ascii="Humnst777 BT" w:hAnsi="Humnst777 BT" w:cs="Arial"/>
        </w:rPr>
        <w:t xml:space="preserve">Nach einer Behandlung mit Dexamethason über mehrere Wochen können erhöhter Augeninnendruck, Glaukome, Katarakte und Exophthalmus auftreten. Ein glukokortikoid-induzierter Anstieg des Augeninnendrucks wird normalerweise innerhalb der ersten 2 Wochen nach Therapiebeginn beobachtet. Die Langzeitanwendung (über mehrere Monate) von Glukokortikoiden macht die Hornhaut anfällig für Geschwürbildung und kann zur Trübung von Hornhaut und Linse führen. </w:t>
      </w:r>
    </w:p>
    <w:p w14:paraId="437146DA" w14:textId="79EFB43F" w:rsidR="00397721" w:rsidRPr="00190219" w:rsidRDefault="00397721" w:rsidP="00E6643A">
      <w:pPr>
        <w:jc w:val="both"/>
        <w:rPr>
          <w:rFonts w:ascii="Humnst777 BT" w:hAnsi="Humnst777 BT" w:cs="Arial"/>
        </w:rPr>
      </w:pPr>
      <w:r w:rsidRPr="00190219">
        <w:rPr>
          <w:rFonts w:ascii="Humnst777 BT" w:hAnsi="Humnst777 BT" w:cs="Arial"/>
        </w:rPr>
        <w:t>Falls Sie Nebenwirkungen, insbesondere solche, die nicht in der Packungsbeilage aufgeführt sind, bei Ihrem Tier feststellen,</w:t>
      </w:r>
      <w:r w:rsidR="009D309A" w:rsidRPr="00190219">
        <w:rPr>
          <w:rFonts w:ascii="Humnst777 BT" w:hAnsi="Humnst777 BT" w:cs="Arial"/>
        </w:rPr>
        <w:t xml:space="preserve"> oder falls Sie vermuten, dass das Tierarzneimittel nicht gewirkt hat,</w:t>
      </w:r>
      <w:r w:rsidRPr="00190219">
        <w:rPr>
          <w:rFonts w:ascii="Humnst777 BT" w:hAnsi="Humnst777 BT" w:cs="Arial"/>
        </w:rPr>
        <w:t xml:space="preserve"> teilen Sie dies </w:t>
      </w:r>
      <w:r w:rsidR="009D309A" w:rsidRPr="00190219">
        <w:rPr>
          <w:rFonts w:ascii="Humnst777 BT" w:hAnsi="Humnst777 BT" w:cs="Arial"/>
        </w:rPr>
        <w:t xml:space="preserve">bitte </w:t>
      </w:r>
      <w:r w:rsidRPr="00190219">
        <w:rPr>
          <w:rFonts w:ascii="Humnst777 BT" w:hAnsi="Humnst777 BT" w:cs="Arial"/>
        </w:rPr>
        <w:t>Ihrem Tierarzt oder Apotheker mit.</w:t>
      </w:r>
    </w:p>
    <w:p w14:paraId="6BB7E82B" w14:textId="77777777" w:rsidR="00E6643A" w:rsidRPr="00190219" w:rsidRDefault="00E6643A" w:rsidP="00E6643A">
      <w:pPr>
        <w:jc w:val="both"/>
        <w:rPr>
          <w:rFonts w:ascii="Humnst777 BT" w:hAnsi="Humnst777 BT" w:cs="Arial"/>
        </w:rPr>
      </w:pPr>
    </w:p>
    <w:p w14:paraId="0952A4B3" w14:textId="77777777" w:rsidR="00397721" w:rsidRPr="00190219" w:rsidRDefault="00397721" w:rsidP="00E6643A">
      <w:pPr>
        <w:jc w:val="both"/>
        <w:rPr>
          <w:rFonts w:ascii="Humnst777 BT" w:hAnsi="Humnst777 BT" w:cs="Arial"/>
          <w:b/>
        </w:rPr>
      </w:pPr>
      <w:r w:rsidRPr="00190219">
        <w:rPr>
          <w:rFonts w:ascii="Humnst777 BT" w:hAnsi="Humnst777 BT" w:cs="Arial"/>
          <w:b/>
        </w:rPr>
        <w:t>Zieltierart(en)</w:t>
      </w:r>
    </w:p>
    <w:p w14:paraId="428509DF" w14:textId="611BE80A" w:rsidR="00DF1820" w:rsidRPr="00190219" w:rsidRDefault="00DF1820" w:rsidP="00E6643A">
      <w:pPr>
        <w:jc w:val="both"/>
        <w:rPr>
          <w:rFonts w:ascii="Humnst777 BT" w:hAnsi="Humnst777 BT" w:cs="Arial"/>
        </w:rPr>
      </w:pPr>
      <w:r w:rsidRPr="00190219">
        <w:rPr>
          <w:rFonts w:ascii="Humnst777 BT" w:hAnsi="Humnst777 BT" w:cs="Arial"/>
        </w:rPr>
        <w:t>Hund und Katze</w:t>
      </w:r>
    </w:p>
    <w:p w14:paraId="04D87540" w14:textId="77777777" w:rsidR="00397721" w:rsidRPr="00190219" w:rsidRDefault="00397721" w:rsidP="00E6643A">
      <w:pPr>
        <w:jc w:val="both"/>
        <w:rPr>
          <w:rFonts w:ascii="Humnst777 BT" w:hAnsi="Humnst777 BT" w:cs="Arial"/>
        </w:rPr>
      </w:pPr>
    </w:p>
    <w:p w14:paraId="7F16C56E" w14:textId="77777777" w:rsidR="00DF1820" w:rsidRPr="00190219" w:rsidRDefault="00397721" w:rsidP="00E6643A">
      <w:pPr>
        <w:jc w:val="both"/>
        <w:rPr>
          <w:rFonts w:ascii="Humnst777 BT" w:hAnsi="Humnst777 BT" w:cs="Arial"/>
          <w:b/>
        </w:rPr>
      </w:pPr>
      <w:r w:rsidRPr="00190219">
        <w:rPr>
          <w:rFonts w:ascii="Humnst777 BT" w:hAnsi="Humnst777 BT" w:cs="Arial"/>
          <w:b/>
        </w:rPr>
        <w:t>Dosierung für jede Tierart, Art und Dauer der Anwendung</w:t>
      </w:r>
    </w:p>
    <w:p w14:paraId="6434B731" w14:textId="77777777" w:rsidR="00AA143F" w:rsidRPr="00AA143F" w:rsidRDefault="00AA143F" w:rsidP="00AA143F">
      <w:pPr>
        <w:jc w:val="both"/>
        <w:rPr>
          <w:rFonts w:ascii="Humnst777 BT" w:hAnsi="Humnst777 BT" w:cs="Arial"/>
          <w:szCs w:val="20"/>
        </w:rPr>
      </w:pPr>
      <w:r w:rsidRPr="00AA143F">
        <w:rPr>
          <w:rFonts w:ascii="Humnst777 BT" w:hAnsi="Humnst777 BT" w:cs="Arial"/>
          <w:szCs w:val="20"/>
        </w:rPr>
        <w:t>Zur Anwendung am Auge. 1 Tropfen entspricht 32,5 µg Dexamethason.</w:t>
      </w:r>
    </w:p>
    <w:p w14:paraId="5564AC1D" w14:textId="77777777" w:rsidR="00AA143F" w:rsidRPr="00AA143F" w:rsidRDefault="00AA143F" w:rsidP="00AA143F">
      <w:pPr>
        <w:jc w:val="both"/>
        <w:rPr>
          <w:rFonts w:ascii="Humnst777 BT" w:hAnsi="Humnst777 BT" w:cs="Arial"/>
          <w:szCs w:val="20"/>
        </w:rPr>
      </w:pPr>
      <w:r w:rsidRPr="00AA143F">
        <w:rPr>
          <w:rFonts w:ascii="Humnst777 BT" w:hAnsi="Humnst777 BT" w:cs="Arial"/>
          <w:szCs w:val="20"/>
        </w:rPr>
        <w:t xml:space="preserve">Einen Tropfen in den Bindehautsack des Auges geben, ggf. auch in das zweite Auge; anfangs 4 – 6-mal pro Tag. </w:t>
      </w:r>
    </w:p>
    <w:p w14:paraId="01EEA057" w14:textId="122BC229" w:rsidR="002A5A94" w:rsidRPr="00190219" w:rsidRDefault="00AA143F" w:rsidP="00AA143F">
      <w:pPr>
        <w:jc w:val="both"/>
        <w:rPr>
          <w:rFonts w:ascii="Humnst777 BT" w:hAnsi="Humnst777 BT" w:cs="Arial"/>
          <w:szCs w:val="20"/>
          <w:lang w:bidi="de-DE"/>
        </w:rPr>
      </w:pPr>
      <w:r w:rsidRPr="00AA143F">
        <w:rPr>
          <w:rFonts w:ascii="Humnst777 BT" w:hAnsi="Humnst777 BT" w:cs="Arial"/>
          <w:szCs w:val="20"/>
        </w:rPr>
        <w:lastRenderedPageBreak/>
        <w:t>Bei schwerer Augenerkrankung kann in den ersten 24–48 Stunden eine häufigere Verabreichung erforderlich sein (einen Tropfen alle 2 Stunden). Nach Eintritt der erwünschten Wirkung sollte die Dosis schrittweise auf die niedrigste wirksame Dosis reduziert werden. Die Häufigkeit der Verabreichung der Tropfen und die Dauer der Behandlung sind von der Erkrankung und vom Therapieansprechen abhängig. Die Behandlung sollte noch 2 Tage nach Abklingen der Symptome fortgesetzt werden.</w:t>
      </w:r>
    </w:p>
    <w:p w14:paraId="3A89D477" w14:textId="77777777" w:rsidR="00DF1820" w:rsidRPr="00190219" w:rsidRDefault="00DF1820" w:rsidP="00E6643A">
      <w:pPr>
        <w:jc w:val="both"/>
        <w:rPr>
          <w:rFonts w:ascii="Humnst777 BT" w:hAnsi="Humnst777 BT" w:cs="Arial"/>
          <w:szCs w:val="20"/>
        </w:rPr>
      </w:pPr>
    </w:p>
    <w:p w14:paraId="54A8AF2D" w14:textId="77777777" w:rsidR="00397721" w:rsidRPr="00AA143F" w:rsidRDefault="00397721" w:rsidP="00E6643A">
      <w:pPr>
        <w:jc w:val="both"/>
        <w:rPr>
          <w:rFonts w:ascii="Humnst777 BT" w:hAnsi="Humnst777 BT" w:cs="Arial"/>
          <w:b/>
          <w:i/>
        </w:rPr>
      </w:pPr>
      <w:r w:rsidRPr="00AA143F">
        <w:rPr>
          <w:rFonts w:ascii="Humnst777 BT" w:hAnsi="Humnst777 BT" w:cs="Arial"/>
          <w:b/>
          <w:i/>
        </w:rPr>
        <w:t>Hinweise für die richtige Anwendung</w:t>
      </w:r>
      <w:r w:rsidR="00E6643A" w:rsidRPr="00AA143F">
        <w:rPr>
          <w:rFonts w:ascii="Humnst777 BT" w:hAnsi="Humnst777 BT" w:cs="Arial"/>
          <w:b/>
          <w:i/>
        </w:rPr>
        <w:t>:</w:t>
      </w:r>
    </w:p>
    <w:p w14:paraId="665528F0" w14:textId="77777777" w:rsidR="00397721" w:rsidRPr="00190219" w:rsidRDefault="00D206CF" w:rsidP="00E6643A">
      <w:pPr>
        <w:jc w:val="both"/>
        <w:rPr>
          <w:rFonts w:ascii="Humnst777 BT" w:hAnsi="Humnst777 BT" w:cs="Arial"/>
        </w:rPr>
      </w:pPr>
      <w:r w:rsidRPr="00190219">
        <w:rPr>
          <w:rFonts w:ascii="Humnst777 BT" w:hAnsi="Humnst777 BT" w:cs="Arial"/>
        </w:rPr>
        <w:t>Siehe Abschnitt „</w:t>
      </w:r>
      <w:r w:rsidRPr="00190219">
        <w:rPr>
          <w:rFonts w:ascii="Humnst777 BT" w:hAnsi="Humnst777 BT" w:cs="Arial"/>
          <w:i/>
        </w:rPr>
        <w:t>Dosierung für jede Tierart, Art und Dauer der Anwendung</w:t>
      </w:r>
      <w:r w:rsidRPr="00190219">
        <w:rPr>
          <w:rFonts w:ascii="Humnst777 BT" w:hAnsi="Humnst777 BT" w:cs="Arial"/>
        </w:rPr>
        <w:t>“.</w:t>
      </w:r>
    </w:p>
    <w:p w14:paraId="6C1065FD" w14:textId="77777777" w:rsidR="00397721" w:rsidRPr="00190219" w:rsidRDefault="00397721" w:rsidP="00E6643A">
      <w:pPr>
        <w:jc w:val="both"/>
        <w:rPr>
          <w:rFonts w:ascii="Humnst777 BT" w:hAnsi="Humnst777 BT" w:cs="Arial"/>
        </w:rPr>
      </w:pPr>
    </w:p>
    <w:p w14:paraId="4C257CD7" w14:textId="77777777" w:rsidR="00397721" w:rsidRPr="00190219" w:rsidRDefault="00397721" w:rsidP="00E6643A">
      <w:pPr>
        <w:jc w:val="both"/>
        <w:rPr>
          <w:rFonts w:ascii="Humnst777 BT" w:hAnsi="Humnst777 BT" w:cs="Arial"/>
          <w:b/>
        </w:rPr>
      </w:pPr>
      <w:r w:rsidRPr="00190219">
        <w:rPr>
          <w:rFonts w:ascii="Humnst777 BT" w:hAnsi="Humnst777 BT" w:cs="Arial"/>
          <w:b/>
        </w:rPr>
        <w:t>Wartezeit</w:t>
      </w:r>
    </w:p>
    <w:p w14:paraId="55332D87" w14:textId="77777777" w:rsidR="000F5374" w:rsidRPr="00190219" w:rsidRDefault="000F5374" w:rsidP="00E6643A">
      <w:pPr>
        <w:jc w:val="both"/>
        <w:rPr>
          <w:rFonts w:ascii="Humnst777 BT" w:hAnsi="Humnst777 BT" w:cs="Arial"/>
        </w:rPr>
      </w:pPr>
      <w:r w:rsidRPr="00190219">
        <w:rPr>
          <w:rFonts w:ascii="Humnst777 BT" w:hAnsi="Humnst777 BT" w:cs="Arial"/>
        </w:rPr>
        <w:t>Nicht zutreffend.</w:t>
      </w:r>
    </w:p>
    <w:p w14:paraId="276683B0" w14:textId="77777777" w:rsidR="00397721" w:rsidRPr="00190219" w:rsidRDefault="00397721" w:rsidP="00E6643A">
      <w:pPr>
        <w:jc w:val="both"/>
        <w:rPr>
          <w:rFonts w:ascii="Humnst777 BT" w:hAnsi="Humnst777 BT" w:cs="Arial"/>
        </w:rPr>
      </w:pPr>
    </w:p>
    <w:p w14:paraId="22D6C324" w14:textId="77777777" w:rsidR="00397721" w:rsidRPr="00190219" w:rsidRDefault="00397721" w:rsidP="00E6643A">
      <w:pPr>
        <w:jc w:val="both"/>
        <w:rPr>
          <w:rFonts w:ascii="Humnst777 BT" w:hAnsi="Humnst777 BT" w:cs="Arial"/>
          <w:b/>
        </w:rPr>
      </w:pPr>
      <w:r w:rsidRPr="00190219">
        <w:rPr>
          <w:rFonts w:ascii="Humnst777 BT" w:hAnsi="Humnst777 BT" w:cs="Arial"/>
          <w:b/>
        </w:rPr>
        <w:t>Besondere Lagerungshinweise</w:t>
      </w:r>
    </w:p>
    <w:p w14:paraId="6DBBB501" w14:textId="38C5D8DF" w:rsidR="000F5374" w:rsidRPr="00190219" w:rsidRDefault="000F5374" w:rsidP="00E6643A">
      <w:pPr>
        <w:jc w:val="both"/>
        <w:rPr>
          <w:rFonts w:ascii="Humnst777 BT" w:hAnsi="Humnst777 BT" w:cs="Arial"/>
        </w:rPr>
      </w:pPr>
      <w:r w:rsidRPr="00190219">
        <w:rPr>
          <w:rFonts w:ascii="Humnst777 BT" w:hAnsi="Humnst777 BT" w:cs="Arial"/>
        </w:rPr>
        <w:t>Arzneimittel unzugänglich für Kinder aufbewahren.</w:t>
      </w:r>
      <w:r w:rsidR="00AA143F">
        <w:rPr>
          <w:rFonts w:ascii="Humnst777 BT" w:hAnsi="Humnst777 BT" w:cs="Arial"/>
        </w:rPr>
        <w:t xml:space="preserve"> </w:t>
      </w:r>
      <w:r w:rsidRPr="00190219">
        <w:rPr>
          <w:rFonts w:ascii="Humnst777 BT" w:hAnsi="Humnst777 BT" w:cs="Arial"/>
        </w:rPr>
        <w:t>Im Kühlschrank lagern (2</w:t>
      </w:r>
      <w:r w:rsidRPr="00190219">
        <w:rPr>
          <w:rFonts w:ascii="Humnst777 BT" w:hAnsi="Humnst777 BT" w:cs="Arial"/>
        </w:rPr>
        <w:sym w:font="Symbol" w:char="F0B0"/>
      </w:r>
      <w:r w:rsidRPr="00190219">
        <w:rPr>
          <w:rFonts w:ascii="Humnst777 BT" w:hAnsi="Humnst777 BT" w:cs="Arial"/>
        </w:rPr>
        <w:t>C – 8</w:t>
      </w:r>
      <w:r w:rsidRPr="00190219">
        <w:rPr>
          <w:rFonts w:ascii="Humnst777 BT" w:hAnsi="Humnst777 BT" w:cs="Arial"/>
        </w:rPr>
        <w:sym w:font="Symbol" w:char="F0B0"/>
      </w:r>
      <w:r w:rsidRPr="00190219">
        <w:rPr>
          <w:rFonts w:ascii="Humnst777 BT" w:hAnsi="Humnst777 BT" w:cs="Arial"/>
        </w:rPr>
        <w:t>C).</w:t>
      </w:r>
      <w:r w:rsidR="00AA143F">
        <w:rPr>
          <w:rFonts w:ascii="Humnst777 BT" w:hAnsi="Humnst777 BT" w:cs="Arial"/>
        </w:rPr>
        <w:t xml:space="preserve"> </w:t>
      </w:r>
      <w:r w:rsidR="00236962" w:rsidRPr="00190219">
        <w:rPr>
          <w:rFonts w:ascii="Humnst777 BT" w:hAnsi="Humnst777 BT" w:cs="Arial"/>
          <w:lang w:val="nl-BE"/>
        </w:rPr>
        <w:t>Das Behältnis im Umkarton aufbewahren, um den Inhalt vor Licht zu schützen.</w:t>
      </w:r>
      <w:r w:rsidR="00AA143F">
        <w:rPr>
          <w:rFonts w:ascii="Humnst777 BT" w:hAnsi="Humnst777 BT" w:cs="Arial"/>
          <w:lang w:val="nl-BE"/>
        </w:rPr>
        <w:t xml:space="preserve"> </w:t>
      </w:r>
      <w:r w:rsidR="006D2549" w:rsidRPr="00190219">
        <w:rPr>
          <w:rFonts w:ascii="Humnst777 BT" w:hAnsi="Humnst777 BT" w:cs="Arial"/>
        </w:rPr>
        <w:t>Das Arzneimittel nach Ablauf des auf Behältnis und äußerer Umhüllung angegebenen Verfalldatums nicht mehr verwenden.</w:t>
      </w:r>
      <w:r w:rsidR="00606B12" w:rsidRPr="00190219">
        <w:rPr>
          <w:rFonts w:ascii="Humnst777 BT" w:hAnsi="Humnst777 BT" w:cs="Arial"/>
        </w:rPr>
        <w:t xml:space="preserve"> Das Verfalldatum bezieht sich auf den letzten Tag des Monats.</w:t>
      </w:r>
      <w:r w:rsidR="00AA143F">
        <w:rPr>
          <w:rFonts w:ascii="Humnst777 BT" w:hAnsi="Humnst777 BT" w:cs="Arial"/>
        </w:rPr>
        <w:t xml:space="preserve"> </w:t>
      </w:r>
    </w:p>
    <w:p w14:paraId="551BD043" w14:textId="77777777" w:rsidR="000F5374" w:rsidRPr="00190219" w:rsidRDefault="000F5374" w:rsidP="00E6643A">
      <w:pPr>
        <w:jc w:val="both"/>
        <w:rPr>
          <w:rFonts w:ascii="Humnst777 BT" w:hAnsi="Humnst777 BT" w:cs="Arial"/>
        </w:rPr>
      </w:pPr>
      <w:r w:rsidRPr="00190219">
        <w:rPr>
          <w:rFonts w:ascii="Humnst777 BT" w:hAnsi="Humnst777 BT" w:cs="Arial"/>
        </w:rPr>
        <w:t>Haltbarkeit nach dem ersten Öffnen/Anbruch des Behältnisses: 28 Tage</w:t>
      </w:r>
    </w:p>
    <w:p w14:paraId="27117F92" w14:textId="77777777" w:rsidR="00397721" w:rsidRPr="00190219" w:rsidRDefault="00397721" w:rsidP="00E6643A">
      <w:pPr>
        <w:jc w:val="both"/>
        <w:rPr>
          <w:rFonts w:ascii="Humnst777 BT" w:hAnsi="Humnst777 BT" w:cs="Arial"/>
        </w:rPr>
      </w:pPr>
    </w:p>
    <w:p w14:paraId="6557C6B9" w14:textId="77777777" w:rsidR="00397721" w:rsidRPr="00190219" w:rsidRDefault="00397721" w:rsidP="00E6643A">
      <w:pPr>
        <w:jc w:val="both"/>
        <w:rPr>
          <w:rFonts w:ascii="Humnst777 BT" w:hAnsi="Humnst777 BT" w:cs="Arial"/>
          <w:b/>
        </w:rPr>
      </w:pPr>
      <w:r w:rsidRPr="00190219">
        <w:rPr>
          <w:rFonts w:ascii="Humnst777 BT" w:hAnsi="Humnst777 BT" w:cs="Arial"/>
          <w:b/>
        </w:rPr>
        <w:t>Besondere Warnhinweise</w:t>
      </w:r>
    </w:p>
    <w:p w14:paraId="7BD2055E" w14:textId="77777777" w:rsidR="00A04079" w:rsidRPr="00AA143F" w:rsidRDefault="00A04079" w:rsidP="00E6643A">
      <w:pPr>
        <w:jc w:val="both"/>
        <w:rPr>
          <w:rFonts w:ascii="Humnst777 BT" w:hAnsi="Humnst777 BT" w:cs="Arial"/>
          <w:i/>
        </w:rPr>
      </w:pPr>
      <w:r w:rsidRPr="00AA143F">
        <w:rPr>
          <w:rFonts w:ascii="Humnst777 BT" w:hAnsi="Humnst777 BT" w:cs="Arial"/>
          <w:i/>
        </w:rPr>
        <w:t>Besondere Vorsichtsmaßnahme</w:t>
      </w:r>
      <w:r w:rsidR="004C1748" w:rsidRPr="00AA143F">
        <w:rPr>
          <w:rFonts w:ascii="Humnst777 BT" w:hAnsi="Humnst777 BT" w:cs="Arial"/>
          <w:i/>
        </w:rPr>
        <w:t>n für die Anwendung bei Tieren:</w:t>
      </w:r>
    </w:p>
    <w:p w14:paraId="17123B7B" w14:textId="4B29E57B" w:rsidR="002220F9" w:rsidRDefault="00AC2E56" w:rsidP="002220F9">
      <w:pPr>
        <w:jc w:val="both"/>
        <w:rPr>
          <w:rFonts w:ascii="Humnst777 BT" w:hAnsi="Humnst777 BT" w:cs="Arial"/>
          <w:lang w:bidi="de-DE"/>
        </w:rPr>
      </w:pPr>
      <w:r w:rsidRPr="00AC2E56">
        <w:rPr>
          <w:rFonts w:ascii="Humnst777 BT" w:hAnsi="Humnst777 BT" w:cs="Arial"/>
          <w:lang w:bidi="de-DE"/>
        </w:rPr>
        <w:t xml:space="preserve">Die lokale Anwendung von Glukokortikoiden verzögert die Heilung von Hornhautverletzungen. Vor Behandlungsbeginn sollte sichergestellt werden, dass keine Hornhautgeschwüre oder mechanischen Ursachen für die Augenentzündung vorliegen. Bei bakteriellen Augeninfektionen darf das Tierarzneimittel nur in Verbindung mit einer antibiotischen Therapie angewendet werden. Wegen der möglichen systemischen Kortikoidwirkung soll nach länger andauernder Anwendung eine mehrwöchige behandlungsfreie Erholungsphase eingehalten werden. Eine Therapie mit Glukokortikoiden kann eine mögliche bakterielle oder fungale Infektion verschleiern. Bei Nichtbehandlung kann dies zu einer </w:t>
      </w:r>
      <w:r w:rsidRPr="00AC2E56">
        <w:rPr>
          <w:rFonts w:ascii="Humnst777 BT" w:hAnsi="Humnst777 BT" w:cs="Arial"/>
          <w:lang w:bidi="de-DE"/>
        </w:rPr>
        <w:lastRenderedPageBreak/>
        <w:t>dauerhaften Schädigung des Auges führen. Das Tierarzneimittel sollte aufgrund der immunologischen Eigenschaften von Dexamethason bei Tieren mit geschwächtem Immunsystem nur nach entsprechender Nutzen-Risiko-Bewertung durch den behandelnden Tierarzt eingesetzt werden.</w:t>
      </w:r>
    </w:p>
    <w:p w14:paraId="21557986" w14:textId="77777777" w:rsidR="00AC2E56" w:rsidRPr="00190219" w:rsidRDefault="00AC2E56" w:rsidP="002220F9">
      <w:pPr>
        <w:jc w:val="both"/>
        <w:rPr>
          <w:rFonts w:ascii="Humnst777 BT" w:hAnsi="Humnst777 BT" w:cs="Arial"/>
        </w:rPr>
      </w:pPr>
    </w:p>
    <w:p w14:paraId="31808DCA" w14:textId="77777777" w:rsidR="00E23152" w:rsidRPr="00AC2E56" w:rsidRDefault="00E23152" w:rsidP="00E6643A">
      <w:pPr>
        <w:jc w:val="both"/>
        <w:rPr>
          <w:rFonts w:ascii="Humnst777 BT" w:hAnsi="Humnst777 BT" w:cs="Arial"/>
          <w:i/>
        </w:rPr>
      </w:pPr>
      <w:r w:rsidRPr="00AC2E56">
        <w:rPr>
          <w:rFonts w:ascii="Humnst777 BT" w:hAnsi="Humnst777 BT" w:cs="Arial"/>
          <w:i/>
        </w:rPr>
        <w:t>Besondere Vorsichtsmaßnahmen für den Anwender:</w:t>
      </w:r>
    </w:p>
    <w:p w14:paraId="2BCC4963" w14:textId="534469A1" w:rsidR="00E6643A" w:rsidRPr="00190219" w:rsidRDefault="002036C1" w:rsidP="002036C1">
      <w:pPr>
        <w:jc w:val="both"/>
        <w:rPr>
          <w:rFonts w:ascii="Humnst777 BT" w:hAnsi="Humnst777 BT" w:cs="Arial"/>
        </w:rPr>
      </w:pPr>
      <w:r w:rsidRPr="002036C1">
        <w:rPr>
          <w:rFonts w:ascii="Humnst777 BT" w:hAnsi="Humnst777 BT" w:cs="Arial"/>
        </w:rPr>
        <w:t>Dexamethason kann allergische Reaktionen hervorrufen. Personen mit bekannter</w:t>
      </w:r>
      <w:r>
        <w:rPr>
          <w:rFonts w:ascii="Humnst777 BT" w:hAnsi="Humnst777 BT" w:cs="Arial"/>
        </w:rPr>
        <w:t xml:space="preserve"> </w:t>
      </w:r>
      <w:r w:rsidRPr="002036C1">
        <w:rPr>
          <w:rFonts w:ascii="Humnst777 BT" w:hAnsi="Humnst777 BT" w:cs="Arial"/>
        </w:rPr>
        <w:t>Überempfindlichkeit gegenüber Dexamethason sollten das Tierarzneimittel vorsichtig</w:t>
      </w:r>
      <w:r>
        <w:rPr>
          <w:rFonts w:ascii="Humnst777 BT" w:hAnsi="Humnst777 BT" w:cs="Arial"/>
        </w:rPr>
        <w:t xml:space="preserve"> </w:t>
      </w:r>
      <w:r w:rsidRPr="002036C1">
        <w:rPr>
          <w:rFonts w:ascii="Humnst777 BT" w:hAnsi="Humnst777 BT" w:cs="Arial"/>
        </w:rPr>
        <w:t>anwenden.</w:t>
      </w:r>
      <w:r>
        <w:rPr>
          <w:rFonts w:ascii="Humnst777 BT" w:hAnsi="Humnst777 BT" w:cs="Arial"/>
        </w:rPr>
        <w:t xml:space="preserve"> </w:t>
      </w:r>
      <w:r w:rsidRPr="002036C1">
        <w:rPr>
          <w:rFonts w:ascii="Humnst777 BT" w:hAnsi="Humnst777 BT" w:cs="Arial"/>
        </w:rPr>
        <w:t>Haut- und Augenkontakt mit dem Tierarzneimittel vermeiden. Nach der Anwendung</w:t>
      </w:r>
      <w:r>
        <w:rPr>
          <w:rFonts w:ascii="Humnst777 BT" w:hAnsi="Humnst777 BT" w:cs="Arial"/>
        </w:rPr>
        <w:t xml:space="preserve"> </w:t>
      </w:r>
      <w:r w:rsidRPr="002036C1">
        <w:rPr>
          <w:rFonts w:ascii="Humnst777 BT" w:hAnsi="Humnst777 BT" w:cs="Arial"/>
        </w:rPr>
        <w:t>Hände waschen. Bei versehentlichem Haut- oder Augenkontakt mit dem Tierarzneimittel</w:t>
      </w:r>
      <w:r>
        <w:rPr>
          <w:rFonts w:ascii="Humnst777 BT" w:hAnsi="Humnst777 BT" w:cs="Arial"/>
        </w:rPr>
        <w:t xml:space="preserve"> </w:t>
      </w:r>
      <w:r w:rsidRPr="002036C1">
        <w:rPr>
          <w:rFonts w:ascii="Humnst777 BT" w:hAnsi="Humnst777 BT" w:cs="Arial"/>
        </w:rPr>
        <w:t>mit viel Wasser spülen. Bei Überempfindlichkeitsreaktionen ist ein Arzt zu Rate</w:t>
      </w:r>
      <w:r>
        <w:rPr>
          <w:rFonts w:ascii="Humnst777 BT" w:hAnsi="Humnst777 BT" w:cs="Arial"/>
        </w:rPr>
        <w:t xml:space="preserve"> </w:t>
      </w:r>
      <w:r w:rsidRPr="002036C1">
        <w:rPr>
          <w:rFonts w:ascii="Humnst777 BT" w:hAnsi="Humnst777 BT" w:cs="Arial"/>
        </w:rPr>
        <w:t>zu ziehen und die Packungsbeilage oder das Etikett vorzuzeigen.</w:t>
      </w:r>
      <w:r>
        <w:rPr>
          <w:rFonts w:ascii="Humnst777 BT" w:hAnsi="Humnst777 BT" w:cs="Arial"/>
        </w:rPr>
        <w:t xml:space="preserve"> </w:t>
      </w:r>
      <w:r w:rsidRPr="002036C1">
        <w:rPr>
          <w:rFonts w:ascii="Humnst777 BT" w:hAnsi="Humnst777 BT" w:cs="Arial"/>
        </w:rPr>
        <w:t>Dexamethason, Borsäure und Borax können das Kind im Mutterleib schädigen. Das</w:t>
      </w:r>
      <w:r>
        <w:rPr>
          <w:rFonts w:ascii="Humnst777 BT" w:hAnsi="Humnst777 BT" w:cs="Arial"/>
        </w:rPr>
        <w:t xml:space="preserve"> </w:t>
      </w:r>
      <w:r w:rsidRPr="002036C1">
        <w:rPr>
          <w:rFonts w:ascii="Humnst777 BT" w:hAnsi="Humnst777 BT" w:cs="Arial"/>
        </w:rPr>
        <w:t>Tierarzneimittel sollte von schwangeren Frauen mit besonderer Vorsicht angewendet</w:t>
      </w:r>
      <w:r>
        <w:rPr>
          <w:rFonts w:ascii="Humnst777 BT" w:hAnsi="Humnst777 BT" w:cs="Arial"/>
        </w:rPr>
        <w:t xml:space="preserve"> </w:t>
      </w:r>
      <w:r w:rsidRPr="002036C1">
        <w:rPr>
          <w:rFonts w:ascii="Humnst777 BT" w:hAnsi="Humnst777 BT" w:cs="Arial"/>
        </w:rPr>
        <w:t>werden.</w:t>
      </w:r>
      <w:r>
        <w:rPr>
          <w:rFonts w:ascii="Humnst777 BT" w:hAnsi="Humnst777 BT" w:cs="Arial"/>
        </w:rPr>
        <w:t xml:space="preserve"> </w:t>
      </w:r>
    </w:p>
    <w:p w14:paraId="57282DFC" w14:textId="77777777" w:rsidR="002220F9" w:rsidRPr="00190219" w:rsidRDefault="002220F9" w:rsidP="00E6643A">
      <w:pPr>
        <w:jc w:val="both"/>
        <w:rPr>
          <w:rFonts w:ascii="Humnst777 BT" w:hAnsi="Humnst777 BT" w:cs="Arial"/>
        </w:rPr>
      </w:pPr>
    </w:p>
    <w:p w14:paraId="3B790047" w14:textId="77777777" w:rsidR="00E23152" w:rsidRPr="00AC2E56" w:rsidRDefault="00E23152" w:rsidP="00E6643A">
      <w:pPr>
        <w:jc w:val="both"/>
        <w:rPr>
          <w:rFonts w:ascii="Humnst777 BT" w:hAnsi="Humnst777 BT" w:cs="Arial"/>
          <w:i/>
        </w:rPr>
      </w:pPr>
      <w:r w:rsidRPr="00AC2E56">
        <w:rPr>
          <w:rFonts w:ascii="Humnst777 BT" w:hAnsi="Humnst777 BT" w:cs="Arial"/>
          <w:i/>
        </w:rPr>
        <w:t>Anwendung während der Trächtigkeit, Laktation oder der Legeperiode:</w:t>
      </w:r>
    </w:p>
    <w:p w14:paraId="74E0B12B" w14:textId="1DCFDE10" w:rsidR="002220F9" w:rsidRDefault="00E527CB" w:rsidP="002220F9">
      <w:pPr>
        <w:jc w:val="both"/>
        <w:rPr>
          <w:rFonts w:ascii="Humnst777 BT" w:hAnsi="Humnst777 BT" w:cs="Arial"/>
        </w:rPr>
      </w:pPr>
      <w:r w:rsidRPr="00190219">
        <w:rPr>
          <w:rFonts w:ascii="Humnst777 BT" w:hAnsi="Humnst777 BT" w:cs="Arial"/>
        </w:rPr>
        <w:t>Das Tierarzneimittel wird zur Anwendung bei trächtigen Tieren nicht empfohlen. Das Tierarzneimittel kann während der Laktation angewendet werden.</w:t>
      </w:r>
    </w:p>
    <w:p w14:paraId="4A86C655" w14:textId="77777777" w:rsidR="003A3EC0" w:rsidRPr="00190219" w:rsidRDefault="003A3EC0" w:rsidP="002220F9">
      <w:pPr>
        <w:jc w:val="both"/>
        <w:rPr>
          <w:rFonts w:ascii="Humnst777 BT" w:hAnsi="Humnst777 BT" w:cs="Arial"/>
        </w:rPr>
      </w:pPr>
    </w:p>
    <w:p w14:paraId="6AF9BE4C" w14:textId="77777777" w:rsidR="002220F9" w:rsidRPr="003A3EC0" w:rsidRDefault="002220F9" w:rsidP="002220F9">
      <w:pPr>
        <w:jc w:val="both"/>
        <w:rPr>
          <w:rFonts w:ascii="Humnst777 BT" w:hAnsi="Humnst777 BT" w:cs="Arial"/>
          <w:i/>
          <w:u w:val="single"/>
        </w:rPr>
      </w:pPr>
      <w:r w:rsidRPr="003A3EC0">
        <w:rPr>
          <w:rFonts w:ascii="Humnst777 BT" w:hAnsi="Humnst777 BT" w:cs="Arial"/>
          <w:i/>
          <w:u w:val="single"/>
        </w:rPr>
        <w:t>Trächtigkeit:</w:t>
      </w:r>
    </w:p>
    <w:p w14:paraId="1EF87C2D" w14:textId="2F737F66" w:rsidR="002220F9" w:rsidRDefault="00E527CB" w:rsidP="002220F9">
      <w:pPr>
        <w:jc w:val="both"/>
        <w:rPr>
          <w:rFonts w:ascii="Humnst777 BT" w:hAnsi="Humnst777 BT" w:cs="Arial"/>
        </w:rPr>
      </w:pPr>
      <w:r w:rsidRPr="00190219">
        <w:rPr>
          <w:rFonts w:ascii="Humnst777 BT" w:hAnsi="Humnst777 BT" w:cs="Arial"/>
        </w:rPr>
        <w:t>Glukokortikoide können die Plazentaschranke passieren. Studien an Labortieren ergaben Hinweise auf eine teratogene Wirkung (Fruchtresorptionen und Gaumenspalten). Nach der Behandlung mit Glukokortikoiden wurden an Kaninchen Fruchtresorptionen und verschiedene Missbildungen im Bereich des Kopfes, der Ohren, der Gliedmaßen und des Gaumens beobachtet. Außerdem wurden intrauterine Wachstumsverzögerungen und funktionelle Veränderungen in der Entwicklung des ZNS nachgewiesen. Teratogene Effekte wurden nach einer bestimmungsgemäßen lokalen Anwendung am Auge bisher nicht beobachtet.</w:t>
      </w:r>
    </w:p>
    <w:p w14:paraId="7CEB41B2" w14:textId="77777777" w:rsidR="003A3EC0" w:rsidRPr="00190219" w:rsidRDefault="003A3EC0" w:rsidP="002220F9">
      <w:pPr>
        <w:jc w:val="both"/>
        <w:rPr>
          <w:rFonts w:ascii="Humnst777 BT" w:hAnsi="Humnst777 BT" w:cs="Arial"/>
        </w:rPr>
      </w:pPr>
    </w:p>
    <w:p w14:paraId="3DC08445" w14:textId="77777777" w:rsidR="002220F9" w:rsidRPr="003A3EC0" w:rsidRDefault="002220F9" w:rsidP="002220F9">
      <w:pPr>
        <w:jc w:val="both"/>
        <w:rPr>
          <w:rFonts w:ascii="Humnst777 BT" w:hAnsi="Humnst777 BT" w:cs="Arial"/>
          <w:i/>
          <w:u w:val="single"/>
        </w:rPr>
      </w:pPr>
      <w:r w:rsidRPr="003A3EC0">
        <w:rPr>
          <w:rFonts w:ascii="Humnst777 BT" w:hAnsi="Humnst777 BT" w:cs="Arial"/>
          <w:i/>
          <w:u w:val="single"/>
        </w:rPr>
        <w:t>Laktation:</w:t>
      </w:r>
    </w:p>
    <w:p w14:paraId="1D9F0E34" w14:textId="5C8E4538" w:rsidR="002220F9" w:rsidRPr="00190219" w:rsidRDefault="002220F9" w:rsidP="002220F9">
      <w:pPr>
        <w:jc w:val="both"/>
        <w:rPr>
          <w:rFonts w:ascii="Humnst777 BT" w:hAnsi="Humnst777 BT" w:cs="Arial"/>
        </w:rPr>
      </w:pPr>
      <w:r w:rsidRPr="00190219">
        <w:rPr>
          <w:rFonts w:ascii="Humnst777 BT" w:hAnsi="Humnst777 BT" w:cs="Arial"/>
        </w:rPr>
        <w:t xml:space="preserve">Glukokortikoide können in die Milch übergehen. Auswirkungen auf die gesäugten </w:t>
      </w:r>
      <w:r w:rsidR="008239F3" w:rsidRPr="00190219">
        <w:rPr>
          <w:rFonts w:ascii="Humnst777 BT" w:hAnsi="Humnst777 BT" w:cs="Arial"/>
        </w:rPr>
        <w:t xml:space="preserve">Welpen </w:t>
      </w:r>
      <w:r w:rsidRPr="00190219">
        <w:rPr>
          <w:rFonts w:ascii="Humnst777 BT" w:hAnsi="Humnst777 BT" w:cs="Arial"/>
        </w:rPr>
        <w:t>sind unwahrscheinlich.</w:t>
      </w:r>
    </w:p>
    <w:p w14:paraId="51FF22EA" w14:textId="77777777" w:rsidR="00E6643A" w:rsidRPr="00190219" w:rsidRDefault="00E6643A" w:rsidP="00E6643A">
      <w:pPr>
        <w:jc w:val="both"/>
        <w:rPr>
          <w:rFonts w:ascii="Humnst777 BT" w:hAnsi="Humnst777 BT" w:cs="Arial"/>
        </w:rPr>
      </w:pPr>
    </w:p>
    <w:p w14:paraId="43EB5482" w14:textId="77777777" w:rsidR="00E23152" w:rsidRPr="003A3EC0" w:rsidRDefault="00E23152" w:rsidP="00E6643A">
      <w:pPr>
        <w:jc w:val="both"/>
        <w:rPr>
          <w:rFonts w:ascii="Humnst777 BT" w:hAnsi="Humnst777 BT" w:cs="Arial"/>
          <w:i/>
        </w:rPr>
      </w:pPr>
      <w:r w:rsidRPr="003A3EC0">
        <w:rPr>
          <w:rFonts w:ascii="Humnst777 BT" w:hAnsi="Humnst777 BT" w:cs="Arial"/>
          <w:i/>
        </w:rPr>
        <w:t>Wechselwirkungen mit anderen Arzneimitteln und andere Wechselwirkungen:</w:t>
      </w:r>
    </w:p>
    <w:p w14:paraId="7DC54366" w14:textId="1C9C54F3" w:rsidR="00E6643A" w:rsidRPr="00190219" w:rsidRDefault="002220F9" w:rsidP="002220F9">
      <w:pPr>
        <w:jc w:val="both"/>
        <w:rPr>
          <w:rFonts w:ascii="Humnst777 BT" w:hAnsi="Humnst777 BT" w:cs="Arial"/>
        </w:rPr>
      </w:pPr>
      <w:r w:rsidRPr="00190219">
        <w:rPr>
          <w:rFonts w:ascii="Humnst777 BT" w:hAnsi="Humnst777 BT" w:cs="Arial"/>
        </w:rPr>
        <w:t>Keine bekannt.</w:t>
      </w:r>
      <w:r w:rsidR="003A3EC0">
        <w:rPr>
          <w:rFonts w:ascii="Humnst777 BT" w:hAnsi="Humnst777 BT" w:cs="Arial"/>
        </w:rPr>
        <w:t xml:space="preserve"> </w:t>
      </w:r>
      <w:r w:rsidRPr="00190219">
        <w:rPr>
          <w:rFonts w:ascii="Humnst777 BT" w:hAnsi="Humnst777 BT" w:cs="Arial"/>
        </w:rPr>
        <w:t>Bei gleichzeitiger Anwendung von anderen Augentropfen, sollten zwischen den Verabreichungen ca. 15 Minuten Zeit vergehen.</w:t>
      </w:r>
    </w:p>
    <w:p w14:paraId="13B79638" w14:textId="77777777" w:rsidR="002220F9" w:rsidRPr="00190219" w:rsidRDefault="002220F9" w:rsidP="002220F9">
      <w:pPr>
        <w:jc w:val="both"/>
        <w:rPr>
          <w:rFonts w:ascii="Humnst777 BT" w:hAnsi="Humnst777 BT" w:cs="Arial"/>
        </w:rPr>
      </w:pPr>
    </w:p>
    <w:p w14:paraId="050AA70F" w14:textId="77777777" w:rsidR="00E23152" w:rsidRPr="003A3EC0" w:rsidRDefault="00E23152" w:rsidP="00E6643A">
      <w:pPr>
        <w:jc w:val="both"/>
        <w:rPr>
          <w:rFonts w:ascii="Humnst777 BT" w:hAnsi="Humnst777 BT" w:cs="Arial"/>
          <w:i/>
        </w:rPr>
      </w:pPr>
      <w:r w:rsidRPr="003A3EC0">
        <w:rPr>
          <w:rFonts w:ascii="Humnst777 BT" w:hAnsi="Humnst777 BT" w:cs="Arial"/>
          <w:i/>
        </w:rPr>
        <w:t>Überdosierung (Symptome, Notfallmaßnahmen und Gegenmittel), falls erforderlich:</w:t>
      </w:r>
    </w:p>
    <w:p w14:paraId="7F144756" w14:textId="3473B576" w:rsidR="002220F9" w:rsidRDefault="00E933E1" w:rsidP="002220F9">
      <w:pPr>
        <w:jc w:val="both"/>
        <w:rPr>
          <w:rFonts w:ascii="Humnst777 BT" w:hAnsi="Humnst777 BT" w:cs="Arial"/>
          <w:lang w:bidi="de-DE"/>
        </w:rPr>
      </w:pPr>
      <w:r w:rsidRPr="00190219">
        <w:rPr>
          <w:rFonts w:ascii="Humnst777 BT" w:hAnsi="Humnst777 BT" w:cs="Arial"/>
          <w:lang w:bidi="de-DE"/>
        </w:rPr>
        <w:t>Bei lokaler Anwendung ist eine Überdosierung sehr unwahrscheinlich. Im Falle einer Überdosierung ist die Behandlung abzubrechen und gegebenenfalls sind die Augen bei einer andauernden Reizung unter fließendem Wasser auszuwaschen.</w:t>
      </w:r>
    </w:p>
    <w:p w14:paraId="560538C5" w14:textId="77777777" w:rsidR="003A3EC0" w:rsidRPr="00190219" w:rsidRDefault="003A3EC0" w:rsidP="002220F9">
      <w:pPr>
        <w:jc w:val="both"/>
        <w:rPr>
          <w:rFonts w:ascii="Humnst777 BT" w:hAnsi="Humnst777 BT" w:cs="Arial"/>
          <w:lang w:bidi="de-DE"/>
        </w:rPr>
      </w:pPr>
    </w:p>
    <w:p w14:paraId="48019C03" w14:textId="77777777" w:rsidR="00E23152" w:rsidRPr="003A3EC0" w:rsidRDefault="00E23152" w:rsidP="00E6643A">
      <w:pPr>
        <w:jc w:val="both"/>
        <w:rPr>
          <w:rFonts w:ascii="Humnst777 BT" w:hAnsi="Humnst777 BT" w:cs="Arial"/>
          <w:i/>
        </w:rPr>
      </w:pPr>
      <w:r w:rsidRPr="003A3EC0">
        <w:rPr>
          <w:rFonts w:ascii="Humnst777 BT" w:hAnsi="Humnst777 BT" w:cs="Arial"/>
          <w:i/>
        </w:rPr>
        <w:t>Inkompatibilitäten:</w:t>
      </w:r>
    </w:p>
    <w:p w14:paraId="00CAFCFB" w14:textId="77777777" w:rsidR="00A04079" w:rsidRPr="00190219" w:rsidRDefault="002220F9" w:rsidP="00E6643A">
      <w:pPr>
        <w:jc w:val="both"/>
        <w:rPr>
          <w:rFonts w:ascii="Humnst777 BT" w:hAnsi="Humnst777 BT" w:cs="Arial"/>
          <w:lang w:bidi="de-DE"/>
        </w:rPr>
      </w:pPr>
      <w:r w:rsidRPr="00190219">
        <w:rPr>
          <w:rFonts w:ascii="Humnst777 BT" w:hAnsi="Humnst777 BT" w:cs="Arial"/>
          <w:lang w:bidi="de-DE"/>
        </w:rPr>
        <w:t>Keine</w:t>
      </w:r>
      <w:r w:rsidR="00A04079" w:rsidRPr="00190219">
        <w:rPr>
          <w:rFonts w:ascii="Humnst777 BT" w:hAnsi="Humnst777 BT" w:cs="Arial"/>
          <w:lang w:bidi="de-DE"/>
        </w:rPr>
        <w:t xml:space="preserve"> bekannt.</w:t>
      </w:r>
    </w:p>
    <w:p w14:paraId="0657CD27" w14:textId="77777777" w:rsidR="00E23152" w:rsidRPr="00190219" w:rsidRDefault="00E23152" w:rsidP="00E6643A">
      <w:pPr>
        <w:jc w:val="both"/>
        <w:rPr>
          <w:rFonts w:ascii="Humnst777 BT" w:hAnsi="Humnst777 BT" w:cs="Arial"/>
        </w:rPr>
      </w:pPr>
    </w:p>
    <w:p w14:paraId="71660BD6" w14:textId="77777777" w:rsidR="00397721" w:rsidRPr="00190219" w:rsidRDefault="00397721" w:rsidP="00E6643A">
      <w:pPr>
        <w:jc w:val="both"/>
        <w:rPr>
          <w:rFonts w:ascii="Humnst777 BT" w:hAnsi="Humnst777 BT" w:cs="Arial"/>
          <w:b/>
        </w:rPr>
      </w:pPr>
      <w:r w:rsidRPr="00190219">
        <w:rPr>
          <w:rFonts w:ascii="Humnst777 BT" w:hAnsi="Humnst777 BT" w:cs="Arial"/>
          <w:b/>
        </w:rPr>
        <w:t>Besondere Vorsichtsmaßnahmen für die Entsorgung von nicht verwendetem Arzneimittel oder von Abfallmaterialien, sofern erforderlich</w:t>
      </w:r>
    </w:p>
    <w:p w14:paraId="72E0FEB1" w14:textId="77777777" w:rsidR="00397721" w:rsidRPr="00190219" w:rsidRDefault="00397721" w:rsidP="00E6643A">
      <w:pPr>
        <w:jc w:val="both"/>
        <w:rPr>
          <w:rFonts w:ascii="Humnst777 BT" w:hAnsi="Humnst777 BT" w:cs="Arial"/>
        </w:rPr>
      </w:pPr>
      <w:r w:rsidRPr="00190219">
        <w:rPr>
          <w:rFonts w:ascii="Humnst777 BT" w:hAnsi="Humnst777 BT" w:cs="Arial"/>
        </w:rPr>
        <w:t>Nicht aufgebrauchte Tierarzneimittel sind vorzugsweise bei Schadstoffsammelstellen abzugeben. Bei gemeinsamer Entsorgung mit dem Hausmüll ist sicherzustellen, dass kein missbräuchlicher Zugriff auf diese Abfälle erfolgen kann. Tierarzneimittel dürfen nicht mit dem Abwasser bzw. über die Kanalisation entsorgt werden.</w:t>
      </w:r>
    </w:p>
    <w:p w14:paraId="3C97C71C" w14:textId="77777777" w:rsidR="00397721" w:rsidRPr="00190219" w:rsidRDefault="00397721" w:rsidP="00E6643A">
      <w:pPr>
        <w:jc w:val="both"/>
        <w:rPr>
          <w:rFonts w:ascii="Humnst777 BT" w:hAnsi="Humnst777 BT" w:cs="Arial"/>
        </w:rPr>
      </w:pPr>
    </w:p>
    <w:p w14:paraId="25BE4BEC" w14:textId="77777777" w:rsidR="00397721" w:rsidRPr="00190219" w:rsidRDefault="00397721" w:rsidP="00E6643A">
      <w:pPr>
        <w:jc w:val="both"/>
        <w:rPr>
          <w:rFonts w:ascii="Humnst777 BT" w:hAnsi="Humnst777 BT" w:cs="Arial"/>
          <w:b/>
        </w:rPr>
      </w:pPr>
      <w:r w:rsidRPr="00190219">
        <w:rPr>
          <w:rFonts w:ascii="Humnst777 BT" w:hAnsi="Humnst777 BT" w:cs="Arial"/>
          <w:b/>
        </w:rPr>
        <w:t>Genehmigungsdatum der Packungsbeilage</w:t>
      </w:r>
    </w:p>
    <w:p w14:paraId="107372E8" w14:textId="480AA620" w:rsidR="00397721" w:rsidRPr="00190219" w:rsidRDefault="00AC2A6E" w:rsidP="00E6643A">
      <w:pPr>
        <w:jc w:val="both"/>
        <w:rPr>
          <w:rFonts w:ascii="Humnst777 BT" w:hAnsi="Humnst777 BT" w:cs="Arial"/>
        </w:rPr>
      </w:pPr>
      <w:r>
        <w:rPr>
          <w:rFonts w:ascii="Humnst777 BT" w:hAnsi="Humnst777 BT" w:cs="Arial"/>
        </w:rPr>
        <w:t>05/2018</w:t>
      </w:r>
    </w:p>
    <w:p w14:paraId="380BDD69" w14:textId="77777777" w:rsidR="00397721" w:rsidRPr="00190219" w:rsidRDefault="00397721" w:rsidP="00E6643A">
      <w:pPr>
        <w:jc w:val="both"/>
        <w:rPr>
          <w:rFonts w:ascii="Humnst777 BT" w:hAnsi="Humnst777 BT" w:cs="Arial"/>
        </w:rPr>
      </w:pPr>
    </w:p>
    <w:p w14:paraId="3A39E8A6" w14:textId="77777777" w:rsidR="00397721" w:rsidRPr="00190219" w:rsidRDefault="00397721" w:rsidP="00E6643A">
      <w:pPr>
        <w:jc w:val="both"/>
        <w:rPr>
          <w:rFonts w:ascii="Humnst777 BT" w:hAnsi="Humnst777 BT" w:cs="Arial"/>
          <w:b/>
        </w:rPr>
      </w:pPr>
      <w:r w:rsidRPr="00190219">
        <w:rPr>
          <w:rFonts w:ascii="Humnst777 BT" w:hAnsi="Humnst777 BT" w:cs="Arial"/>
          <w:b/>
        </w:rPr>
        <w:t>Weitere Angaben</w:t>
      </w:r>
    </w:p>
    <w:p w14:paraId="5A9F0A89" w14:textId="77777777" w:rsidR="00397721" w:rsidRPr="00190219" w:rsidRDefault="00E23152" w:rsidP="00E6643A">
      <w:pPr>
        <w:jc w:val="both"/>
        <w:rPr>
          <w:rFonts w:ascii="Humnst777 BT" w:hAnsi="Humnst777 BT" w:cs="Arial"/>
          <w:i/>
        </w:rPr>
      </w:pPr>
      <w:r w:rsidRPr="00190219">
        <w:rPr>
          <w:rFonts w:ascii="Humnst777 BT" w:hAnsi="Humnst777 BT" w:cs="Arial"/>
          <w:i/>
        </w:rPr>
        <w:t>Packungsgrößen</w:t>
      </w:r>
      <w:r w:rsidR="00DD3B4F" w:rsidRPr="00190219">
        <w:rPr>
          <w:rFonts w:ascii="Humnst777 BT" w:hAnsi="Humnst777 BT" w:cs="Arial"/>
          <w:i/>
        </w:rPr>
        <w:t>:</w:t>
      </w:r>
    </w:p>
    <w:p w14:paraId="226408A2" w14:textId="77777777" w:rsidR="00E23152" w:rsidRPr="00190219" w:rsidRDefault="00DD3B4F" w:rsidP="00E6643A">
      <w:pPr>
        <w:jc w:val="both"/>
        <w:rPr>
          <w:rFonts w:ascii="Humnst777 BT" w:hAnsi="Humnst777 BT" w:cs="Arial"/>
        </w:rPr>
      </w:pPr>
      <w:r w:rsidRPr="00190219">
        <w:rPr>
          <w:rFonts w:ascii="Humnst777 BT" w:hAnsi="Humnst777 BT" w:cs="Arial"/>
        </w:rPr>
        <w:t>1 x</w:t>
      </w:r>
      <w:r w:rsidR="00E23152" w:rsidRPr="00190219">
        <w:rPr>
          <w:rFonts w:ascii="Humnst777 BT" w:hAnsi="Humnst777 BT" w:cs="Arial"/>
        </w:rPr>
        <w:t xml:space="preserve"> </w:t>
      </w:r>
      <w:r w:rsidR="00E6643A" w:rsidRPr="00190219">
        <w:rPr>
          <w:rFonts w:ascii="Humnst777 BT" w:hAnsi="Humnst777 BT" w:cs="Arial"/>
        </w:rPr>
        <w:t>5</w:t>
      </w:r>
      <w:r w:rsidR="00E23152" w:rsidRPr="00190219">
        <w:rPr>
          <w:rFonts w:ascii="Humnst777 BT" w:hAnsi="Humnst777 BT" w:cs="Arial"/>
        </w:rPr>
        <w:t xml:space="preserve"> </w:t>
      </w:r>
      <w:r w:rsidR="003020A6" w:rsidRPr="00190219">
        <w:rPr>
          <w:rFonts w:ascii="Humnst777 BT" w:hAnsi="Humnst777 BT" w:cs="Arial"/>
        </w:rPr>
        <w:t>m</w:t>
      </w:r>
      <w:r w:rsidR="00934334" w:rsidRPr="00190219">
        <w:rPr>
          <w:rFonts w:ascii="Humnst777 BT" w:hAnsi="Humnst777 BT" w:cs="Arial"/>
        </w:rPr>
        <w:t>l</w:t>
      </w:r>
    </w:p>
    <w:p w14:paraId="72ABE0AD" w14:textId="77777777" w:rsidR="00397721" w:rsidRPr="00190219" w:rsidRDefault="00397721" w:rsidP="00E6643A">
      <w:pPr>
        <w:jc w:val="both"/>
        <w:rPr>
          <w:rFonts w:ascii="Humnst777 BT" w:hAnsi="Humnst777 BT" w:cs="Arial"/>
        </w:rPr>
      </w:pPr>
    </w:p>
    <w:sectPr w:rsidR="00397721" w:rsidRPr="0019021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42C0" w14:textId="77777777" w:rsidR="00731D8E" w:rsidRDefault="00731D8E" w:rsidP="00397721">
      <w:r>
        <w:separator/>
      </w:r>
    </w:p>
  </w:endnote>
  <w:endnote w:type="continuationSeparator" w:id="0">
    <w:p w14:paraId="3F56C42A" w14:textId="77777777" w:rsidR="00731D8E" w:rsidRDefault="00731D8E" w:rsidP="0039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umnst777 BT">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7EB48" w14:textId="31E8D1C0" w:rsidR="00190219" w:rsidRPr="00190219" w:rsidRDefault="00190219">
    <w:pPr>
      <w:pStyle w:val="Jalus"/>
      <w:rPr>
        <w:rFonts w:ascii="Humnst777 BT" w:hAnsi="Humnst777 BT"/>
        <w:sz w:val="16"/>
      </w:rPr>
    </w:pPr>
    <w:r w:rsidRPr="00190219">
      <w:rPr>
        <w:rFonts w:ascii="Humnst777 BT" w:hAnsi="Humnst777 BT"/>
        <w:sz w:val="16"/>
      </w:rPr>
      <w:t xml:space="preserve">Seite </w:t>
    </w:r>
    <w:r w:rsidRPr="00190219">
      <w:rPr>
        <w:rFonts w:ascii="Humnst777 BT" w:hAnsi="Humnst777 BT"/>
        <w:b/>
        <w:bCs/>
        <w:sz w:val="16"/>
      </w:rPr>
      <w:fldChar w:fldCharType="begin"/>
    </w:r>
    <w:r w:rsidRPr="00190219">
      <w:rPr>
        <w:rFonts w:ascii="Humnst777 BT" w:hAnsi="Humnst777 BT"/>
        <w:b/>
        <w:bCs/>
        <w:sz w:val="16"/>
      </w:rPr>
      <w:instrText>PAGE  \* Arabic  \* MERGEFORMAT</w:instrText>
    </w:r>
    <w:r w:rsidRPr="00190219">
      <w:rPr>
        <w:rFonts w:ascii="Humnst777 BT" w:hAnsi="Humnst777 BT"/>
        <w:b/>
        <w:bCs/>
        <w:sz w:val="16"/>
      </w:rPr>
      <w:fldChar w:fldCharType="separate"/>
    </w:r>
    <w:r w:rsidR="00320F44">
      <w:rPr>
        <w:rFonts w:ascii="Humnst777 BT" w:hAnsi="Humnst777 BT"/>
        <w:b/>
        <w:bCs/>
        <w:noProof/>
        <w:sz w:val="16"/>
      </w:rPr>
      <w:t>1</w:t>
    </w:r>
    <w:r w:rsidRPr="00190219">
      <w:rPr>
        <w:rFonts w:ascii="Humnst777 BT" w:hAnsi="Humnst777 BT"/>
        <w:b/>
        <w:bCs/>
        <w:sz w:val="16"/>
      </w:rPr>
      <w:fldChar w:fldCharType="end"/>
    </w:r>
    <w:r w:rsidRPr="00190219">
      <w:rPr>
        <w:rFonts w:ascii="Humnst777 BT" w:hAnsi="Humnst777 BT"/>
        <w:sz w:val="16"/>
      </w:rPr>
      <w:t xml:space="preserve"> von </w:t>
    </w:r>
    <w:r w:rsidRPr="00190219">
      <w:rPr>
        <w:rFonts w:ascii="Humnst777 BT" w:hAnsi="Humnst777 BT"/>
        <w:b/>
        <w:bCs/>
        <w:sz w:val="16"/>
      </w:rPr>
      <w:fldChar w:fldCharType="begin"/>
    </w:r>
    <w:r w:rsidRPr="00190219">
      <w:rPr>
        <w:rFonts w:ascii="Humnst777 BT" w:hAnsi="Humnst777 BT"/>
        <w:b/>
        <w:bCs/>
        <w:sz w:val="16"/>
      </w:rPr>
      <w:instrText>NUMPAGES  \* Arabic  \* MERGEFORMAT</w:instrText>
    </w:r>
    <w:r w:rsidRPr="00190219">
      <w:rPr>
        <w:rFonts w:ascii="Humnst777 BT" w:hAnsi="Humnst777 BT"/>
        <w:b/>
        <w:bCs/>
        <w:sz w:val="16"/>
      </w:rPr>
      <w:fldChar w:fldCharType="separate"/>
    </w:r>
    <w:r w:rsidR="00320F44">
      <w:rPr>
        <w:rFonts w:ascii="Humnst777 BT" w:hAnsi="Humnst777 BT"/>
        <w:b/>
        <w:bCs/>
        <w:noProof/>
        <w:sz w:val="16"/>
      </w:rPr>
      <w:t>5</w:t>
    </w:r>
    <w:r w:rsidRPr="00190219">
      <w:rPr>
        <w:rFonts w:ascii="Humnst777 BT" w:hAnsi="Humnst777 BT"/>
        <w:b/>
        <w:b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E9687" w14:textId="77777777" w:rsidR="00731D8E" w:rsidRDefault="00731D8E" w:rsidP="00397721">
      <w:r>
        <w:separator/>
      </w:r>
    </w:p>
  </w:footnote>
  <w:footnote w:type="continuationSeparator" w:id="0">
    <w:p w14:paraId="59187B78" w14:textId="77777777" w:rsidR="00731D8E" w:rsidRDefault="00731D8E" w:rsidP="0039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F288" w14:textId="77777777" w:rsidR="00190219" w:rsidRDefault="00190219" w:rsidP="00190219">
    <w:pPr>
      <w:tabs>
        <w:tab w:val="center" w:pos="4536"/>
        <w:tab w:val="right" w:pos="9072"/>
      </w:tabs>
      <w:rPr>
        <w:rFonts w:ascii="Humnst777 BT" w:hAnsi="Humnst777 BT" w:cs="Arial"/>
        <w:b/>
        <w:bCs/>
        <w:sz w:val="20"/>
      </w:rPr>
    </w:pPr>
    <w:r>
      <w:rPr>
        <w:rFonts w:ascii="Humnst777 BT" w:hAnsi="Humnst777 BT" w:cs="Arial"/>
        <w:b/>
        <w:bCs/>
        <w:sz w:val="20"/>
      </w:rPr>
      <w:t>Dexavet 1 mg/ml - Hd. / Ktz.</w:t>
    </w:r>
    <w:r>
      <w:rPr>
        <w:rFonts w:ascii="Humnst777 BT" w:hAnsi="Humnst777 BT" w:cs="Arial"/>
        <w:b/>
        <w:bCs/>
        <w:sz w:val="20"/>
      </w:rPr>
      <w:tab/>
    </w:r>
    <w:r>
      <w:rPr>
        <w:rFonts w:ascii="Humnst777 BT" w:hAnsi="Humnst777 BT" w:cs="Arial"/>
        <w:b/>
        <w:bCs/>
        <w:sz w:val="20"/>
      </w:rPr>
      <w:tab/>
      <w:t>Stand 05/2018</w:t>
    </w:r>
  </w:p>
  <w:p w14:paraId="37382865" w14:textId="2ADDD559" w:rsidR="00190219" w:rsidRDefault="00190219" w:rsidP="00190219">
    <w:pPr>
      <w:pBdr>
        <w:bottom w:val="single" w:sz="8" w:space="1" w:color="auto"/>
      </w:pBdr>
      <w:tabs>
        <w:tab w:val="center" w:pos="4536"/>
        <w:tab w:val="right" w:pos="9072"/>
      </w:tabs>
      <w:rPr>
        <w:rFonts w:ascii="Humnst777 BT" w:hAnsi="Humnst777 BT" w:cs="Arial"/>
        <w:sz w:val="18"/>
        <w:szCs w:val="18"/>
      </w:rPr>
    </w:pPr>
    <w:r>
      <w:rPr>
        <w:rFonts w:ascii="Humnst777 BT" w:hAnsi="Humnst777 BT" w:cs="Arial"/>
        <w:sz w:val="18"/>
        <w:szCs w:val="18"/>
      </w:rPr>
      <w:t>Gebrauchsinformation</w:t>
    </w:r>
    <w:r>
      <w:rPr>
        <w:rFonts w:ascii="Humnst777 BT" w:hAnsi="Humnst777 BT" w:cs="Arial"/>
        <w:sz w:val="18"/>
        <w:szCs w:val="18"/>
      </w:rPr>
      <w:tab/>
    </w:r>
    <w:r>
      <w:rPr>
        <w:rFonts w:ascii="Humnst777 BT" w:hAnsi="Humnst777 BT" w:cs="Arial"/>
        <w:sz w:val="18"/>
        <w:szCs w:val="18"/>
      </w:rPr>
      <w:tab/>
      <w:t>CP-Pharma GmbH</w:t>
    </w:r>
  </w:p>
  <w:p w14:paraId="00726E22" w14:textId="77777777" w:rsidR="00190219" w:rsidRDefault="00190219" w:rsidP="00190219">
    <w:pPr>
      <w:tabs>
        <w:tab w:val="left" w:pos="2350"/>
      </w:tabs>
      <w:rPr>
        <w:rFonts w:ascii="Humnst777 BT" w:hAnsi="Humnst777 BT" w:cs="Arial"/>
        <w:sz w:val="18"/>
        <w:szCs w:val="18"/>
      </w:rPr>
    </w:pPr>
  </w:p>
  <w:p w14:paraId="40F7ADBF" w14:textId="77777777" w:rsidR="00190219" w:rsidRDefault="00190219" w:rsidP="00190219">
    <w:pPr>
      <w:tabs>
        <w:tab w:val="center" w:pos="4536"/>
        <w:tab w:val="right" w:pos="9072"/>
      </w:tabs>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72FAC"/>
    <w:multiLevelType w:val="hybridMultilevel"/>
    <w:tmpl w:val="3724C988"/>
    <w:lvl w:ilvl="0" w:tplc="2452A2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721"/>
    <w:rsid w:val="0003034B"/>
    <w:rsid w:val="000777AE"/>
    <w:rsid w:val="000F5374"/>
    <w:rsid w:val="000F5B9D"/>
    <w:rsid w:val="001364DC"/>
    <w:rsid w:val="00190219"/>
    <w:rsid w:val="001B398B"/>
    <w:rsid w:val="001D7C48"/>
    <w:rsid w:val="001E14E7"/>
    <w:rsid w:val="002036C1"/>
    <w:rsid w:val="002220F9"/>
    <w:rsid w:val="00236962"/>
    <w:rsid w:val="00250E21"/>
    <w:rsid w:val="002A5A94"/>
    <w:rsid w:val="003020A6"/>
    <w:rsid w:val="00320F44"/>
    <w:rsid w:val="00384E0F"/>
    <w:rsid w:val="00397721"/>
    <w:rsid w:val="003A3EC0"/>
    <w:rsid w:val="003F556E"/>
    <w:rsid w:val="00420922"/>
    <w:rsid w:val="004C1748"/>
    <w:rsid w:val="0054548F"/>
    <w:rsid w:val="005F4B1E"/>
    <w:rsid w:val="00606B12"/>
    <w:rsid w:val="006305C8"/>
    <w:rsid w:val="00636767"/>
    <w:rsid w:val="00696401"/>
    <w:rsid w:val="006A5627"/>
    <w:rsid w:val="006D2549"/>
    <w:rsid w:val="006D68BE"/>
    <w:rsid w:val="006E2975"/>
    <w:rsid w:val="00731D8E"/>
    <w:rsid w:val="00794C94"/>
    <w:rsid w:val="007F1C35"/>
    <w:rsid w:val="00800771"/>
    <w:rsid w:val="00816199"/>
    <w:rsid w:val="008239F3"/>
    <w:rsid w:val="00840C25"/>
    <w:rsid w:val="008B1747"/>
    <w:rsid w:val="00934334"/>
    <w:rsid w:val="00970C0B"/>
    <w:rsid w:val="009D309A"/>
    <w:rsid w:val="009E2CA0"/>
    <w:rsid w:val="00A04079"/>
    <w:rsid w:val="00A505A4"/>
    <w:rsid w:val="00A5362C"/>
    <w:rsid w:val="00A96820"/>
    <w:rsid w:val="00AA143F"/>
    <w:rsid w:val="00AA3551"/>
    <w:rsid w:val="00AB04F0"/>
    <w:rsid w:val="00AC2A6E"/>
    <w:rsid w:val="00AC2E56"/>
    <w:rsid w:val="00AE1A50"/>
    <w:rsid w:val="00B2067F"/>
    <w:rsid w:val="00B36474"/>
    <w:rsid w:val="00B57D9E"/>
    <w:rsid w:val="00B85BF8"/>
    <w:rsid w:val="00BC5BD7"/>
    <w:rsid w:val="00C1027B"/>
    <w:rsid w:val="00C73D87"/>
    <w:rsid w:val="00C77212"/>
    <w:rsid w:val="00CE66DD"/>
    <w:rsid w:val="00D14EC8"/>
    <w:rsid w:val="00D206CF"/>
    <w:rsid w:val="00D30008"/>
    <w:rsid w:val="00D548C6"/>
    <w:rsid w:val="00D54AA5"/>
    <w:rsid w:val="00D57AC5"/>
    <w:rsid w:val="00D8757C"/>
    <w:rsid w:val="00DB7CD8"/>
    <w:rsid w:val="00DD3B4F"/>
    <w:rsid w:val="00DF1820"/>
    <w:rsid w:val="00E16692"/>
    <w:rsid w:val="00E23152"/>
    <w:rsid w:val="00E35331"/>
    <w:rsid w:val="00E527CB"/>
    <w:rsid w:val="00E64D2F"/>
    <w:rsid w:val="00E6643A"/>
    <w:rsid w:val="00E823E4"/>
    <w:rsid w:val="00E92E74"/>
    <w:rsid w:val="00E933E1"/>
    <w:rsid w:val="00F937B1"/>
    <w:rsid w:val="00F95B7D"/>
    <w:rsid w:val="00FA6B65"/>
    <w:rsid w:val="00FB28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3A1F1"/>
  <w14:defaultImageDpi w14:val="300"/>
  <w15:chartTrackingRefBased/>
  <w15:docId w15:val="{ED86C704-D2E8-4DAB-BD9B-381B2282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97721"/>
    <w:rPr>
      <w:rFonts w:ascii="Times New Roman" w:eastAsia="Times New Roman" w:hAnsi="Times New Roman"/>
      <w:sz w:val="24"/>
      <w:szCs w:val="24"/>
    </w:rPr>
  </w:style>
  <w:style w:type="paragraph" w:styleId="Pealkiri1">
    <w:name w:val="heading 1"/>
    <w:basedOn w:val="Kehatekst"/>
    <w:next w:val="Kehatekst"/>
    <w:link w:val="Pealkiri1Mrk"/>
    <w:qFormat/>
    <w:rsid w:val="00397721"/>
    <w:pPr>
      <w:keepNext/>
      <w:spacing w:before="360" w:after="40"/>
      <w:outlineLvl w:val="0"/>
    </w:pPr>
    <w:rPr>
      <w:b/>
      <w:u w:val="single"/>
    </w:rPr>
  </w:style>
  <w:style w:type="paragraph" w:styleId="Pealkiri2">
    <w:name w:val="heading 2"/>
    <w:basedOn w:val="Kehatekst"/>
    <w:next w:val="Kehatekst"/>
    <w:link w:val="Pealkiri2Mrk"/>
    <w:qFormat/>
    <w:rsid w:val="00397721"/>
    <w:pPr>
      <w:keepNext/>
      <w:spacing w:before="360" w:after="200"/>
      <w:outlineLvl w:val="1"/>
    </w:pPr>
    <w:rPr>
      <w:b/>
      <w:u w:val="single"/>
    </w:rPr>
  </w:style>
  <w:style w:type="paragraph" w:styleId="Pealkiri3">
    <w:name w:val="heading 3"/>
    <w:basedOn w:val="Kehatekst"/>
    <w:next w:val="Kehatekst"/>
    <w:link w:val="Pealkiri3Mrk"/>
    <w:qFormat/>
    <w:rsid w:val="00397721"/>
    <w:pPr>
      <w:spacing w:before="240" w:after="160"/>
      <w:outlineLvl w:val="2"/>
    </w:pPr>
    <w:rPr>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397721"/>
    <w:rPr>
      <w:rFonts w:ascii="Arial" w:eastAsia="Times New Roman" w:hAnsi="Arial" w:cs="Times New Roman"/>
      <w:b/>
      <w:szCs w:val="20"/>
      <w:u w:val="single"/>
      <w:lang w:val="de-DE" w:eastAsia="de-DE"/>
    </w:rPr>
  </w:style>
  <w:style w:type="character" w:customStyle="1" w:styleId="Pealkiri2Mrk">
    <w:name w:val="Pealkiri 2 Märk"/>
    <w:link w:val="Pealkiri2"/>
    <w:rsid w:val="00397721"/>
    <w:rPr>
      <w:rFonts w:ascii="Arial" w:eastAsia="Times New Roman" w:hAnsi="Arial" w:cs="Times New Roman"/>
      <w:b/>
      <w:szCs w:val="20"/>
      <w:u w:val="single"/>
      <w:lang w:val="de-DE" w:eastAsia="de-DE"/>
    </w:rPr>
  </w:style>
  <w:style w:type="character" w:customStyle="1" w:styleId="Pealkiri3Mrk">
    <w:name w:val="Pealkiri 3 Märk"/>
    <w:link w:val="Pealkiri3"/>
    <w:rsid w:val="00397721"/>
    <w:rPr>
      <w:rFonts w:ascii="Arial" w:eastAsia="Times New Roman" w:hAnsi="Arial" w:cs="Times New Roman"/>
      <w:szCs w:val="20"/>
      <w:u w:val="single"/>
      <w:lang w:val="de-DE" w:eastAsia="de-DE"/>
    </w:rPr>
  </w:style>
  <w:style w:type="paragraph" w:styleId="Kehatekst">
    <w:name w:val="Body Text"/>
    <w:basedOn w:val="Normaallaad"/>
    <w:link w:val="KehatekstMrk"/>
    <w:rsid w:val="00397721"/>
    <w:pPr>
      <w:jc w:val="both"/>
    </w:pPr>
    <w:rPr>
      <w:rFonts w:ascii="Arial" w:hAnsi="Arial"/>
      <w:szCs w:val="20"/>
    </w:rPr>
  </w:style>
  <w:style w:type="character" w:customStyle="1" w:styleId="KehatekstMrk">
    <w:name w:val="Kehatekst Märk"/>
    <w:link w:val="Kehatekst"/>
    <w:rsid w:val="00397721"/>
    <w:rPr>
      <w:rFonts w:ascii="Arial" w:eastAsia="Times New Roman" w:hAnsi="Arial" w:cs="Times New Roman"/>
      <w:szCs w:val="20"/>
      <w:lang w:val="de-DE" w:eastAsia="de-DE"/>
    </w:rPr>
  </w:style>
  <w:style w:type="paragraph" w:customStyle="1" w:styleId="Anlageberschrift">
    <w:name w:val="Anlage Überschrift"/>
    <w:basedOn w:val="Kehatekst"/>
    <w:next w:val="Kehatekst"/>
    <w:rsid w:val="00397721"/>
    <w:pPr>
      <w:spacing w:before="60"/>
    </w:pPr>
    <w:rPr>
      <w:b/>
      <w:u w:val="single"/>
    </w:rPr>
  </w:style>
  <w:style w:type="paragraph" w:styleId="Pis">
    <w:name w:val="header"/>
    <w:basedOn w:val="Normaallaad"/>
    <w:link w:val="PisMrk"/>
    <w:rsid w:val="00397721"/>
    <w:pPr>
      <w:tabs>
        <w:tab w:val="center" w:pos="4536"/>
        <w:tab w:val="right" w:pos="9072"/>
      </w:tabs>
    </w:pPr>
  </w:style>
  <w:style w:type="character" w:customStyle="1" w:styleId="PisMrk">
    <w:name w:val="Päis Märk"/>
    <w:link w:val="Pis"/>
    <w:rsid w:val="00397721"/>
    <w:rPr>
      <w:rFonts w:ascii="Times New Roman" w:eastAsia="Times New Roman" w:hAnsi="Times New Roman" w:cs="Times New Roman"/>
      <w:lang w:val="de-DE" w:eastAsia="de-DE"/>
    </w:rPr>
  </w:style>
  <w:style w:type="paragraph" w:styleId="Jalus">
    <w:name w:val="footer"/>
    <w:basedOn w:val="Normaallaad"/>
    <w:link w:val="JalusMrk"/>
    <w:uiPriority w:val="99"/>
    <w:unhideWhenUsed/>
    <w:rsid w:val="00397721"/>
    <w:pPr>
      <w:tabs>
        <w:tab w:val="center" w:pos="4320"/>
        <w:tab w:val="right" w:pos="8640"/>
      </w:tabs>
    </w:pPr>
  </w:style>
  <w:style w:type="character" w:customStyle="1" w:styleId="JalusMrk">
    <w:name w:val="Jalus Märk"/>
    <w:link w:val="Jalus"/>
    <w:uiPriority w:val="99"/>
    <w:rsid w:val="00397721"/>
    <w:rPr>
      <w:rFonts w:ascii="Times New Roman" w:eastAsia="Times New Roman" w:hAnsi="Times New Roman" w:cs="Times New Roman"/>
      <w:lang w:val="de-DE" w:eastAsia="de-DE"/>
    </w:rPr>
  </w:style>
  <w:style w:type="paragraph" w:customStyle="1" w:styleId="TextkrpermitEinzug">
    <w:name w:val="Textkörper mit Einzug"/>
    <w:basedOn w:val="Kehatekst"/>
    <w:rsid w:val="001B398B"/>
    <w:pPr>
      <w:ind w:left="851"/>
    </w:pPr>
  </w:style>
  <w:style w:type="paragraph" w:customStyle="1" w:styleId="berschrift3mitEinzug">
    <w:name w:val="Überschrift 3 mit Einzug"/>
    <w:basedOn w:val="Normaallaad"/>
    <w:next w:val="TextkrpermitEinzug"/>
    <w:rsid w:val="00E23152"/>
    <w:pPr>
      <w:keepNext/>
      <w:tabs>
        <w:tab w:val="left" w:pos="851"/>
      </w:tabs>
      <w:spacing w:before="240" w:after="120"/>
      <w:ind w:left="851" w:hanging="851"/>
      <w:jc w:val="both"/>
    </w:pPr>
    <w:rPr>
      <w:rFonts w:ascii="Arial" w:hAnsi="Arial"/>
      <w:szCs w:val="20"/>
    </w:rPr>
  </w:style>
  <w:style w:type="paragraph" w:styleId="Jutumullitekst">
    <w:name w:val="Balloon Text"/>
    <w:basedOn w:val="Normaallaad"/>
    <w:link w:val="JutumullitekstMrk"/>
    <w:uiPriority w:val="99"/>
    <w:semiHidden/>
    <w:unhideWhenUsed/>
    <w:rsid w:val="00816199"/>
    <w:rPr>
      <w:rFonts w:ascii="Lucida Grande" w:hAnsi="Lucida Grande" w:cs="Lucida Grande"/>
      <w:sz w:val="18"/>
      <w:szCs w:val="18"/>
    </w:rPr>
  </w:style>
  <w:style w:type="character" w:customStyle="1" w:styleId="JutumullitekstMrk">
    <w:name w:val="Jutumullitekst Märk"/>
    <w:link w:val="Jutumullitekst"/>
    <w:uiPriority w:val="99"/>
    <w:semiHidden/>
    <w:rsid w:val="00816199"/>
    <w:rPr>
      <w:rFonts w:ascii="Lucida Grande" w:eastAsia="Times New Roman" w:hAnsi="Lucida Grande" w:cs="Lucida Grande"/>
      <w:sz w:val="18"/>
      <w:szCs w:val="18"/>
      <w:lang w:val="de-DE" w:eastAsia="de-DE"/>
    </w:rPr>
  </w:style>
  <w:style w:type="paragraph" w:styleId="Dokumendiplaan">
    <w:name w:val="Document Map"/>
    <w:basedOn w:val="Normaallaad"/>
    <w:link w:val="DokumendiplaanMrk"/>
    <w:uiPriority w:val="99"/>
    <w:semiHidden/>
    <w:unhideWhenUsed/>
    <w:rsid w:val="003020A6"/>
    <w:rPr>
      <w:rFonts w:ascii="Lucida Grande" w:hAnsi="Lucida Grande" w:cs="Lucida Grande"/>
    </w:rPr>
  </w:style>
  <w:style w:type="character" w:customStyle="1" w:styleId="DokumendiplaanMrk">
    <w:name w:val="Dokumendiplaan Märk"/>
    <w:link w:val="Dokumendiplaan"/>
    <w:uiPriority w:val="99"/>
    <w:semiHidden/>
    <w:rsid w:val="003020A6"/>
    <w:rPr>
      <w:rFonts w:ascii="Lucida Grande" w:eastAsia="Times New Roman" w:hAnsi="Lucida Grande" w:cs="Lucida Grande"/>
      <w:sz w:val="24"/>
      <w:szCs w:val="24"/>
      <w:lang w:val="de-DE" w:eastAsia="de-DE"/>
    </w:rPr>
  </w:style>
  <w:style w:type="character" w:styleId="Kommentaariviide">
    <w:name w:val="annotation reference"/>
    <w:uiPriority w:val="99"/>
    <w:semiHidden/>
    <w:unhideWhenUsed/>
    <w:rsid w:val="00696401"/>
    <w:rPr>
      <w:sz w:val="18"/>
      <w:szCs w:val="18"/>
    </w:rPr>
  </w:style>
  <w:style w:type="paragraph" w:styleId="Kommentaaritekst">
    <w:name w:val="annotation text"/>
    <w:basedOn w:val="Normaallaad"/>
    <w:link w:val="KommentaaritekstMrk"/>
    <w:uiPriority w:val="99"/>
    <w:semiHidden/>
    <w:unhideWhenUsed/>
    <w:rsid w:val="00696401"/>
  </w:style>
  <w:style w:type="character" w:customStyle="1" w:styleId="KommentaaritekstMrk">
    <w:name w:val="Kommentaari tekst Märk"/>
    <w:link w:val="Kommentaaritekst"/>
    <w:uiPriority w:val="99"/>
    <w:semiHidden/>
    <w:rsid w:val="00696401"/>
    <w:rPr>
      <w:rFonts w:ascii="Times New Roman" w:eastAsia="Times New Roman" w:hAnsi="Times New Roman"/>
      <w:sz w:val="24"/>
      <w:szCs w:val="24"/>
      <w:lang w:val="de-DE" w:eastAsia="de-DE"/>
    </w:rPr>
  </w:style>
  <w:style w:type="paragraph" w:styleId="Kommentaariteema">
    <w:name w:val="annotation subject"/>
    <w:basedOn w:val="Kommentaaritekst"/>
    <w:next w:val="Kommentaaritekst"/>
    <w:link w:val="KommentaariteemaMrk"/>
    <w:uiPriority w:val="99"/>
    <w:semiHidden/>
    <w:unhideWhenUsed/>
    <w:rsid w:val="00696401"/>
    <w:rPr>
      <w:b/>
      <w:bCs/>
      <w:sz w:val="20"/>
      <w:szCs w:val="20"/>
    </w:rPr>
  </w:style>
  <w:style w:type="character" w:customStyle="1" w:styleId="KommentaariteemaMrk">
    <w:name w:val="Kommentaari teema Märk"/>
    <w:link w:val="Kommentaariteema"/>
    <w:uiPriority w:val="99"/>
    <w:semiHidden/>
    <w:rsid w:val="00696401"/>
    <w:rPr>
      <w:rFonts w:ascii="Times New Roman" w:eastAsia="Times New Roman" w:hAnsi="Times New Roman"/>
      <w:b/>
      <w:bCs/>
      <w:sz w:val="24"/>
      <w:szCs w:val="24"/>
      <w:lang w:val="de-DE" w:eastAsia="de-DE"/>
    </w:rPr>
  </w:style>
  <w:style w:type="paragraph" w:customStyle="1" w:styleId="ColorfulShading-Accent11">
    <w:name w:val="Colorful Shading - Accent 11"/>
    <w:hidden/>
    <w:uiPriority w:val="99"/>
    <w:semiHidden/>
    <w:rsid w:val="006964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2736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5952</Characters>
  <Application>Microsoft Office Word</Application>
  <DocSecurity>0</DocSecurity>
  <Lines>49</Lines>
  <Paragraphs>13</Paragraphs>
  <ScaleCrop>false</ScaleCrop>
  <HeadingPairs>
    <vt:vector size="6" baseType="variant">
      <vt:variant>
        <vt:lpstr>Pealkiri</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Przerada</dc:creator>
  <cp:keywords/>
  <dc:description/>
  <cp:lastModifiedBy>Indrek Kuklane</cp:lastModifiedBy>
  <cp:revision>2</cp:revision>
  <dcterms:created xsi:type="dcterms:W3CDTF">2023-01-06T18:24:00Z</dcterms:created>
  <dcterms:modified xsi:type="dcterms:W3CDTF">2023-01-06T18:24:00Z</dcterms:modified>
</cp:coreProperties>
</file>