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6A" w:rsidRDefault="00387A6A">
      <w:pPr>
        <w:jc w:val="center"/>
        <w:rPr>
          <w:rFonts w:ascii="Humnst777 BT" w:hAnsi="Humnst777 BT" w:cs="Humnst777 BT"/>
          <w:b/>
          <w:bCs/>
          <w:sz w:val="28"/>
          <w:szCs w:val="28"/>
        </w:rPr>
      </w:pPr>
      <w:bookmarkStart w:id="0" w:name="_GoBack"/>
      <w:bookmarkEnd w:id="0"/>
      <w:r>
        <w:rPr>
          <w:rFonts w:ascii="Humnst777 BT" w:hAnsi="Humnst777 BT" w:cs="Humnst777 BT"/>
          <w:b/>
          <w:bCs/>
          <w:sz w:val="28"/>
          <w:szCs w:val="28"/>
        </w:rPr>
        <w:t>Gebrauchsinformation</w:t>
      </w:r>
    </w:p>
    <w:p w:rsidR="00296918" w:rsidRPr="002E234A" w:rsidRDefault="00296918" w:rsidP="00296918">
      <w:pPr>
        <w:jc w:val="center"/>
        <w:rPr>
          <w:rFonts w:ascii="Humnst777 BT" w:hAnsi="Humnst777 BT"/>
          <w:b/>
          <w:sz w:val="28"/>
          <w:szCs w:val="28"/>
        </w:rPr>
      </w:pPr>
      <w:r w:rsidRPr="003D03AF">
        <w:rPr>
          <w:rFonts w:ascii="Humnst777 BT" w:hAnsi="Humnst777 BT"/>
          <w:b/>
          <w:sz w:val="36"/>
        </w:rPr>
        <w:t>Equipulmin</w:t>
      </w:r>
      <w:r w:rsidRPr="003D03AF">
        <w:rPr>
          <w:rFonts w:ascii="Humnst777 BT" w:hAnsi="Humnst777 BT"/>
          <w:b/>
          <w:sz w:val="36"/>
          <w:vertAlign w:val="superscript"/>
        </w:rPr>
        <w:t>®</w:t>
      </w:r>
      <w:r w:rsidRPr="003D03AF">
        <w:rPr>
          <w:rFonts w:ascii="Humnst777 BT" w:hAnsi="Humnst777 BT"/>
          <w:b/>
          <w:sz w:val="36"/>
        </w:rPr>
        <w:t xml:space="preserve"> Gel</w:t>
      </w:r>
      <w:r>
        <w:rPr>
          <w:rFonts w:ascii="Humnst777 BT" w:hAnsi="Humnst777 BT"/>
          <w:b/>
          <w:sz w:val="36"/>
        </w:rPr>
        <w:t xml:space="preserve"> </w:t>
      </w:r>
      <w:r w:rsidRPr="002E234A">
        <w:rPr>
          <w:rFonts w:ascii="Humnst777 BT" w:hAnsi="Humnst777 BT"/>
          <w:b/>
          <w:sz w:val="28"/>
          <w:szCs w:val="28"/>
        </w:rPr>
        <w:t>0,025 mg/ml</w:t>
      </w:r>
    </w:p>
    <w:p w:rsidR="00296918" w:rsidRDefault="00296918" w:rsidP="00296918">
      <w:pPr>
        <w:jc w:val="center"/>
        <w:rPr>
          <w:rFonts w:ascii="Humnst777 BT" w:hAnsi="Humnst777 BT" w:cs="Humnst777 BT"/>
          <w:b/>
        </w:rPr>
      </w:pPr>
      <w:r w:rsidRPr="0059676E">
        <w:rPr>
          <w:rFonts w:ascii="Humnst777 BT" w:hAnsi="Humnst777 BT" w:cs="Humnst777 BT"/>
          <w:b/>
        </w:rPr>
        <w:t xml:space="preserve">Gel </w:t>
      </w:r>
      <w:r>
        <w:rPr>
          <w:rFonts w:ascii="Humnst777 BT" w:hAnsi="Humnst777 BT" w:cs="Humnst777 BT"/>
          <w:b/>
        </w:rPr>
        <w:t xml:space="preserve">zum Eingeben </w:t>
      </w:r>
      <w:r w:rsidRPr="0059676E">
        <w:rPr>
          <w:rFonts w:ascii="Humnst777 BT" w:hAnsi="Humnst777 BT" w:cs="Humnst777 BT"/>
          <w:b/>
        </w:rPr>
        <w:t>für Pferde</w:t>
      </w:r>
    </w:p>
    <w:p w:rsidR="00296918" w:rsidRDefault="00296918">
      <w:pPr>
        <w:jc w:val="both"/>
        <w:rPr>
          <w:rFonts w:ascii="Humnst777 BT" w:hAnsi="Humnst777 BT" w:cs="Humnst777 BT"/>
          <w:b/>
          <w:bCs/>
          <w:sz w:val="22"/>
          <w:szCs w:val="22"/>
        </w:rPr>
      </w:pPr>
    </w:p>
    <w:p w:rsidR="00387A6A" w:rsidRPr="00234A92" w:rsidRDefault="00234A92">
      <w:pPr>
        <w:jc w:val="both"/>
        <w:rPr>
          <w:rFonts w:ascii="Humnst777 BT" w:hAnsi="Humnst777 BT" w:cs="Humnst777 BT"/>
          <w:b/>
          <w:bCs/>
          <w:sz w:val="22"/>
          <w:szCs w:val="22"/>
        </w:rPr>
      </w:pPr>
      <w:r w:rsidRPr="00234A92">
        <w:rPr>
          <w:rFonts w:ascii="Humnst777 BT" w:hAnsi="Humnst777 BT" w:cs="Humnst777 BT"/>
          <w:b/>
          <w:bCs/>
          <w:sz w:val="22"/>
          <w:szCs w:val="22"/>
        </w:rPr>
        <w:t>Name und Anschrift des Zulassungsinhabers und, wenn unterschiedlich des Herstellers, der für die Chargenfreigeben verantwortlich ist</w:t>
      </w:r>
    </w:p>
    <w:p w:rsidR="00234A92" w:rsidRDefault="00234A92" w:rsidP="00234A92">
      <w:pPr>
        <w:jc w:val="both"/>
        <w:rPr>
          <w:rFonts w:ascii="Humnst777 BT" w:hAnsi="Humnst777 BT" w:cs="Humnst777 BT"/>
          <w:sz w:val="22"/>
          <w:szCs w:val="22"/>
        </w:rPr>
      </w:pPr>
      <w:r>
        <w:rPr>
          <w:rFonts w:ascii="Humnst777 BT" w:hAnsi="Humnst777 BT" w:cs="Humnst777 BT"/>
          <w:sz w:val="22"/>
          <w:szCs w:val="22"/>
        </w:rPr>
        <w:t>CP-Pharma Handelsges. mbH</w:t>
      </w:r>
    </w:p>
    <w:p w:rsidR="00234A92" w:rsidRDefault="00234A92" w:rsidP="00234A92">
      <w:pPr>
        <w:jc w:val="both"/>
        <w:rPr>
          <w:rFonts w:ascii="Humnst777 BT" w:hAnsi="Humnst777 BT" w:cs="Humnst777 BT"/>
          <w:sz w:val="22"/>
          <w:szCs w:val="22"/>
        </w:rPr>
      </w:pPr>
      <w:r>
        <w:rPr>
          <w:rFonts w:ascii="Humnst777 BT" w:hAnsi="Humnst777 BT" w:cs="Humnst777 BT"/>
          <w:sz w:val="22"/>
          <w:szCs w:val="22"/>
        </w:rPr>
        <w:t>Ostlandring 13</w:t>
      </w:r>
    </w:p>
    <w:p w:rsidR="00234A92" w:rsidRDefault="00234A92" w:rsidP="00234A92">
      <w:pPr>
        <w:jc w:val="both"/>
        <w:rPr>
          <w:rFonts w:ascii="Humnst777 BT" w:hAnsi="Humnst777 BT" w:cs="Humnst777 BT"/>
          <w:sz w:val="22"/>
          <w:szCs w:val="22"/>
        </w:rPr>
      </w:pPr>
      <w:r>
        <w:rPr>
          <w:rFonts w:ascii="Humnst777 BT" w:hAnsi="Humnst777 BT" w:cs="Humnst777 BT"/>
          <w:sz w:val="22"/>
          <w:szCs w:val="22"/>
        </w:rPr>
        <w:t>31303 Burgdorf</w:t>
      </w:r>
    </w:p>
    <w:p w:rsidR="000778B4" w:rsidRDefault="000778B4" w:rsidP="00234A92">
      <w:pPr>
        <w:jc w:val="both"/>
        <w:rPr>
          <w:rFonts w:ascii="Humnst777 BT" w:hAnsi="Humnst777 BT" w:cs="Humnst777 BT"/>
          <w:sz w:val="22"/>
          <w:szCs w:val="22"/>
        </w:rPr>
      </w:pPr>
    </w:p>
    <w:p w:rsidR="00B848CF" w:rsidRPr="00003CFC" w:rsidRDefault="00B848CF" w:rsidP="00B848CF">
      <w:pPr>
        <w:jc w:val="both"/>
        <w:rPr>
          <w:rFonts w:ascii="Humnst777 BT" w:hAnsi="Humnst777 BT" w:cs="Humnst777 BT"/>
          <w:i/>
          <w:iCs/>
          <w:sz w:val="22"/>
          <w:szCs w:val="22"/>
        </w:rPr>
      </w:pPr>
      <w:r w:rsidRPr="00003CFC">
        <w:rPr>
          <w:rFonts w:ascii="Humnst777 BT" w:hAnsi="Humnst777 BT" w:cs="Humnst777 BT"/>
          <w:i/>
          <w:iCs/>
          <w:sz w:val="22"/>
          <w:szCs w:val="22"/>
        </w:rPr>
        <w:t>Chargenfreigabe:</w:t>
      </w:r>
    </w:p>
    <w:p w:rsidR="000447C8" w:rsidRDefault="000447C8" w:rsidP="000447C8">
      <w:pPr>
        <w:jc w:val="both"/>
        <w:rPr>
          <w:rFonts w:ascii="Humnst777 BT" w:hAnsi="Humnst777 BT" w:cs="Humnst777 BT"/>
          <w:sz w:val="22"/>
          <w:szCs w:val="22"/>
        </w:rPr>
      </w:pPr>
      <w:r>
        <w:rPr>
          <w:rFonts w:ascii="Humnst777 BT" w:hAnsi="Humnst777 BT" w:cs="Humnst777 BT"/>
          <w:sz w:val="22"/>
          <w:szCs w:val="22"/>
        </w:rPr>
        <w:t>CP-Pharma Handelsges. mbH</w:t>
      </w:r>
    </w:p>
    <w:p w:rsidR="000447C8" w:rsidRDefault="000447C8" w:rsidP="000447C8">
      <w:pPr>
        <w:jc w:val="both"/>
        <w:rPr>
          <w:rFonts w:ascii="Humnst777 BT" w:hAnsi="Humnst777 BT" w:cs="Humnst777 BT"/>
          <w:sz w:val="22"/>
          <w:szCs w:val="22"/>
        </w:rPr>
      </w:pPr>
      <w:r>
        <w:rPr>
          <w:rFonts w:ascii="Humnst777 BT" w:hAnsi="Humnst777 BT" w:cs="Humnst777 BT"/>
          <w:sz w:val="22"/>
          <w:szCs w:val="22"/>
        </w:rPr>
        <w:t>Ostlandring 13</w:t>
      </w:r>
    </w:p>
    <w:p w:rsidR="000447C8" w:rsidRDefault="000447C8" w:rsidP="000447C8">
      <w:pPr>
        <w:jc w:val="both"/>
        <w:rPr>
          <w:rFonts w:ascii="Humnst777 BT" w:hAnsi="Humnst777 BT" w:cs="Humnst777 BT"/>
          <w:sz w:val="22"/>
          <w:szCs w:val="22"/>
        </w:rPr>
      </w:pPr>
      <w:r>
        <w:rPr>
          <w:rFonts w:ascii="Humnst777 BT" w:hAnsi="Humnst777 BT" w:cs="Humnst777 BT"/>
          <w:sz w:val="22"/>
          <w:szCs w:val="22"/>
        </w:rPr>
        <w:t>31303 Burgdorf</w:t>
      </w:r>
    </w:p>
    <w:p w:rsidR="00787987" w:rsidRDefault="00787987" w:rsidP="00787987">
      <w:pPr>
        <w:jc w:val="both"/>
        <w:rPr>
          <w:rFonts w:ascii="Humnst777 BT" w:hAnsi="Humnst777 BT" w:cs="Humnst777 BT"/>
          <w:sz w:val="22"/>
          <w:szCs w:val="22"/>
        </w:rPr>
      </w:pPr>
    </w:p>
    <w:p w:rsidR="00787987" w:rsidRDefault="00787987" w:rsidP="00787987">
      <w:pPr>
        <w:jc w:val="both"/>
        <w:rPr>
          <w:rFonts w:ascii="Humnst777 BT" w:hAnsi="Humnst777 BT" w:cs="Humnst777 BT"/>
          <w:sz w:val="22"/>
          <w:szCs w:val="22"/>
        </w:rPr>
      </w:pPr>
      <w:r>
        <w:rPr>
          <w:rFonts w:ascii="Humnst777 BT" w:hAnsi="Humnst777 BT" w:cs="Humnst777 BT"/>
          <w:sz w:val="22"/>
          <w:szCs w:val="22"/>
        </w:rPr>
        <w:t>Produlab Pharma bv</w:t>
      </w:r>
    </w:p>
    <w:p w:rsidR="00787987" w:rsidRDefault="00787987" w:rsidP="00787987">
      <w:pPr>
        <w:jc w:val="both"/>
        <w:rPr>
          <w:rFonts w:ascii="Humnst777 BT" w:hAnsi="Humnst777 BT" w:cs="Humnst777 BT"/>
          <w:sz w:val="22"/>
          <w:szCs w:val="22"/>
        </w:rPr>
      </w:pPr>
      <w:r>
        <w:rPr>
          <w:rFonts w:ascii="Humnst777 BT" w:hAnsi="Humnst777 BT" w:cs="Humnst777 BT"/>
          <w:sz w:val="22"/>
          <w:szCs w:val="22"/>
        </w:rPr>
        <w:t>Forellenweg 15, 4941 SJ Raamsdonksveer</w:t>
      </w:r>
    </w:p>
    <w:p w:rsidR="00787987" w:rsidRDefault="00787987" w:rsidP="00787987">
      <w:pPr>
        <w:jc w:val="both"/>
        <w:rPr>
          <w:rFonts w:ascii="Humnst777 BT" w:hAnsi="Humnst777 BT" w:cs="Humnst777 BT"/>
          <w:sz w:val="22"/>
          <w:szCs w:val="22"/>
        </w:rPr>
      </w:pPr>
      <w:r>
        <w:rPr>
          <w:rFonts w:ascii="Humnst777 BT" w:hAnsi="Humnst777 BT" w:cs="Humnst777 BT"/>
          <w:sz w:val="22"/>
          <w:szCs w:val="22"/>
        </w:rPr>
        <w:t>Niederlande</w:t>
      </w:r>
    </w:p>
    <w:p w:rsidR="000447C8" w:rsidRDefault="000447C8" w:rsidP="000447C8">
      <w:pPr>
        <w:jc w:val="both"/>
        <w:rPr>
          <w:rFonts w:ascii="Humnst777 BT" w:hAnsi="Humnst777 BT" w:cs="Humnst777 BT"/>
          <w:b/>
          <w:bCs/>
          <w:sz w:val="22"/>
          <w:szCs w:val="22"/>
        </w:rPr>
      </w:pPr>
    </w:p>
    <w:p w:rsidR="00787987" w:rsidRPr="00787987" w:rsidRDefault="00787987" w:rsidP="000447C8">
      <w:pPr>
        <w:jc w:val="both"/>
        <w:rPr>
          <w:rFonts w:ascii="Humnst777 BT" w:hAnsi="Humnst777 BT" w:cs="Humnst777 BT"/>
          <w:bCs/>
          <w:sz w:val="22"/>
          <w:szCs w:val="22"/>
        </w:rPr>
      </w:pPr>
      <w:r w:rsidRPr="00787987">
        <w:rPr>
          <w:rFonts w:ascii="Humnst777 BT" w:hAnsi="Humnst777 BT" w:cs="Humnst777 BT"/>
          <w:bCs/>
          <w:sz w:val="22"/>
          <w:szCs w:val="22"/>
        </w:rPr>
        <w:t>Lichtenheldt GmbH Pharmazeutische Fabrik</w:t>
      </w:r>
    </w:p>
    <w:p w:rsidR="00787987" w:rsidRPr="00787987" w:rsidRDefault="00787987" w:rsidP="000447C8">
      <w:pPr>
        <w:jc w:val="both"/>
        <w:rPr>
          <w:rFonts w:ascii="Humnst777 BT" w:hAnsi="Humnst777 BT" w:cs="Humnst777 BT"/>
          <w:bCs/>
          <w:sz w:val="22"/>
          <w:szCs w:val="22"/>
        </w:rPr>
      </w:pPr>
      <w:r w:rsidRPr="00787987">
        <w:rPr>
          <w:rFonts w:ascii="Humnst777 BT" w:hAnsi="Humnst777 BT" w:cs="Humnst777 BT"/>
          <w:bCs/>
          <w:sz w:val="22"/>
          <w:szCs w:val="22"/>
        </w:rPr>
        <w:t>Justus-Liebig-Weg 1</w:t>
      </w:r>
    </w:p>
    <w:p w:rsidR="00787987" w:rsidRPr="00787987" w:rsidRDefault="00787987" w:rsidP="000447C8">
      <w:pPr>
        <w:jc w:val="both"/>
        <w:rPr>
          <w:rFonts w:ascii="Humnst777 BT" w:hAnsi="Humnst777 BT" w:cs="Humnst777 BT"/>
          <w:bCs/>
          <w:sz w:val="22"/>
          <w:szCs w:val="22"/>
        </w:rPr>
      </w:pPr>
      <w:r w:rsidRPr="00787987">
        <w:rPr>
          <w:rFonts w:ascii="Humnst777 BT" w:hAnsi="Humnst777 BT" w:cs="Humnst777 BT"/>
          <w:bCs/>
          <w:sz w:val="22"/>
          <w:szCs w:val="22"/>
        </w:rPr>
        <w:t>23812 Wahlstedt</w:t>
      </w:r>
    </w:p>
    <w:p w:rsidR="00787987" w:rsidRDefault="00787987" w:rsidP="000447C8">
      <w:pPr>
        <w:jc w:val="both"/>
        <w:rPr>
          <w:rFonts w:ascii="Humnst777 BT" w:hAnsi="Humnst777 BT" w:cs="Humnst777 BT"/>
          <w:b/>
          <w:bCs/>
          <w:sz w:val="22"/>
          <w:szCs w:val="22"/>
        </w:rPr>
      </w:pPr>
    </w:p>
    <w:p w:rsidR="00F87D3A" w:rsidRPr="00F87D3A" w:rsidRDefault="00F87D3A">
      <w:pPr>
        <w:jc w:val="both"/>
        <w:rPr>
          <w:rFonts w:ascii="Humnst777 BT" w:hAnsi="Humnst777 BT" w:cs="Humnst777 BT"/>
          <w:b/>
          <w:bCs/>
          <w:sz w:val="22"/>
          <w:szCs w:val="22"/>
        </w:rPr>
      </w:pPr>
      <w:r w:rsidRPr="00F87D3A">
        <w:rPr>
          <w:rFonts w:ascii="Humnst777 BT" w:hAnsi="Humnst777 BT" w:cs="Humnst777 BT"/>
          <w:b/>
          <w:bCs/>
          <w:sz w:val="22"/>
          <w:szCs w:val="22"/>
        </w:rPr>
        <w:t>Bezeichnung des Tierarzneimittels</w:t>
      </w:r>
    </w:p>
    <w:p w:rsidR="00296918" w:rsidRPr="002E234A" w:rsidRDefault="00296918" w:rsidP="00296918">
      <w:pPr>
        <w:rPr>
          <w:rFonts w:ascii="Humnst777 BT" w:hAnsi="Humnst777 BT"/>
          <w:b/>
          <w:sz w:val="28"/>
          <w:szCs w:val="28"/>
        </w:rPr>
      </w:pPr>
      <w:r w:rsidRPr="003D03AF">
        <w:rPr>
          <w:rFonts w:ascii="Humnst777 BT" w:hAnsi="Humnst777 BT"/>
          <w:b/>
          <w:sz w:val="36"/>
        </w:rPr>
        <w:t>Equipulmin</w:t>
      </w:r>
      <w:r w:rsidRPr="003D03AF">
        <w:rPr>
          <w:rFonts w:ascii="Humnst777 BT" w:hAnsi="Humnst777 BT"/>
          <w:b/>
          <w:sz w:val="36"/>
          <w:vertAlign w:val="superscript"/>
        </w:rPr>
        <w:t>®</w:t>
      </w:r>
      <w:r w:rsidRPr="003D03AF">
        <w:rPr>
          <w:rFonts w:ascii="Humnst777 BT" w:hAnsi="Humnst777 BT"/>
          <w:b/>
          <w:sz w:val="36"/>
        </w:rPr>
        <w:t xml:space="preserve"> Gel</w:t>
      </w:r>
      <w:r>
        <w:rPr>
          <w:rFonts w:ascii="Humnst777 BT" w:hAnsi="Humnst777 BT"/>
          <w:b/>
          <w:sz w:val="36"/>
        </w:rPr>
        <w:t xml:space="preserve"> </w:t>
      </w:r>
      <w:r w:rsidRPr="002E234A">
        <w:rPr>
          <w:rFonts w:ascii="Humnst777 BT" w:hAnsi="Humnst777 BT"/>
          <w:b/>
          <w:sz w:val="28"/>
          <w:szCs w:val="28"/>
        </w:rPr>
        <w:t>0,025 mg/ml</w:t>
      </w:r>
    </w:p>
    <w:p w:rsidR="00296918" w:rsidRPr="00296918" w:rsidRDefault="00296918" w:rsidP="00296918">
      <w:pPr>
        <w:rPr>
          <w:rFonts w:ascii="Humnst777 BT" w:hAnsi="Humnst777 BT" w:cs="Humnst777 BT"/>
          <w:b/>
          <w:sz w:val="22"/>
          <w:szCs w:val="22"/>
        </w:rPr>
      </w:pPr>
      <w:r w:rsidRPr="00296918">
        <w:rPr>
          <w:rFonts w:ascii="Humnst777 BT" w:hAnsi="Humnst777 BT" w:cs="Humnst777 BT"/>
          <w:b/>
          <w:sz w:val="22"/>
          <w:szCs w:val="22"/>
        </w:rPr>
        <w:t>Gel zum Eingeben für Pferde</w:t>
      </w:r>
    </w:p>
    <w:p w:rsidR="000778B4" w:rsidRDefault="00296918" w:rsidP="00296918">
      <w:pPr>
        <w:jc w:val="both"/>
        <w:rPr>
          <w:rFonts w:ascii="Humnst777 BT" w:hAnsi="Humnst777 BT" w:cs="Humnst777 BT"/>
          <w:b/>
          <w:sz w:val="22"/>
          <w:szCs w:val="22"/>
        </w:rPr>
      </w:pPr>
      <w:r w:rsidRPr="00296918">
        <w:rPr>
          <w:rFonts w:ascii="Humnst777 BT" w:hAnsi="Humnst777 BT" w:cs="Humnst777 BT"/>
          <w:b/>
          <w:sz w:val="22"/>
          <w:szCs w:val="22"/>
        </w:rPr>
        <w:t>Clenbuterolhydrochlorid</w:t>
      </w:r>
    </w:p>
    <w:p w:rsidR="00296918" w:rsidRDefault="00296918" w:rsidP="00296918">
      <w:pPr>
        <w:jc w:val="both"/>
        <w:rPr>
          <w:rFonts w:ascii="Humnst777 BT" w:hAnsi="Humnst777 BT" w:cs="Humnst777 BT"/>
          <w:b/>
          <w:sz w:val="22"/>
          <w:szCs w:val="22"/>
        </w:rPr>
      </w:pPr>
    </w:p>
    <w:p w:rsidR="00296918" w:rsidRPr="00296918" w:rsidRDefault="00296918" w:rsidP="00296918">
      <w:pPr>
        <w:jc w:val="both"/>
        <w:rPr>
          <w:rFonts w:ascii="Humnst777 BT" w:hAnsi="Humnst777 BT" w:cs="Humnst777 BT"/>
          <w:sz w:val="22"/>
          <w:szCs w:val="22"/>
        </w:rPr>
      </w:pPr>
    </w:p>
    <w:p w:rsidR="00387A6A" w:rsidRDefault="00F87D3A">
      <w:pPr>
        <w:rPr>
          <w:rFonts w:ascii="Humnst777 BT" w:hAnsi="Humnst777 BT" w:cs="Humnst777 BT"/>
          <w:sz w:val="22"/>
          <w:szCs w:val="22"/>
        </w:rPr>
      </w:pPr>
      <w:r>
        <w:rPr>
          <w:rFonts w:ascii="Humnst777 BT" w:hAnsi="Humnst777 BT" w:cs="Humnst777 BT"/>
          <w:b/>
          <w:bCs/>
          <w:sz w:val="22"/>
          <w:szCs w:val="22"/>
        </w:rPr>
        <w:t>Wirkstoff(e) und sonstige Bestandteile</w:t>
      </w:r>
    </w:p>
    <w:p w:rsidR="00787987" w:rsidRDefault="00787987" w:rsidP="00787987">
      <w:pPr>
        <w:spacing w:line="240" w:lineRule="atLeast"/>
        <w:rPr>
          <w:rFonts w:ascii="Humnst777 BT" w:hAnsi="Humnst777 BT"/>
          <w:sz w:val="22"/>
        </w:rPr>
      </w:pPr>
      <w:r>
        <w:rPr>
          <w:rFonts w:ascii="Humnst777 BT" w:hAnsi="Humnst777 BT"/>
          <w:sz w:val="22"/>
        </w:rPr>
        <w:t>1</w:t>
      </w:r>
      <w:r>
        <w:rPr>
          <w:rFonts w:ascii="Humnst777 BT" w:hAnsi="Humnst777 BT"/>
          <w:b/>
          <w:sz w:val="22"/>
        </w:rPr>
        <w:t xml:space="preserve"> </w:t>
      </w:r>
      <w:r>
        <w:rPr>
          <w:rFonts w:ascii="Humnst777 BT" w:hAnsi="Humnst777 BT"/>
          <w:sz w:val="22"/>
        </w:rPr>
        <w:t xml:space="preserve">ml Gel zum Eingeben enthält: </w:t>
      </w:r>
    </w:p>
    <w:p w:rsidR="00387A6A" w:rsidRDefault="00F87D3A" w:rsidP="00887F56">
      <w:pPr>
        <w:tabs>
          <w:tab w:val="left" w:pos="3195"/>
        </w:tabs>
        <w:rPr>
          <w:rFonts w:ascii="Humnst777 BT" w:hAnsi="Humnst777 BT" w:cs="Humnst777 BT"/>
          <w:i/>
          <w:iCs/>
          <w:sz w:val="22"/>
          <w:szCs w:val="22"/>
        </w:rPr>
      </w:pPr>
      <w:r>
        <w:rPr>
          <w:rFonts w:ascii="Humnst777 BT" w:hAnsi="Humnst777 BT" w:cs="Humnst777 BT"/>
          <w:i/>
          <w:iCs/>
          <w:sz w:val="22"/>
          <w:szCs w:val="22"/>
        </w:rPr>
        <w:t>Wirkstoff(e):</w:t>
      </w:r>
      <w:r w:rsidR="00887F56">
        <w:rPr>
          <w:rFonts w:ascii="Humnst777 BT" w:hAnsi="Humnst777 BT" w:cs="Humnst777 BT"/>
          <w:i/>
          <w:iCs/>
          <w:sz w:val="22"/>
          <w:szCs w:val="22"/>
        </w:rPr>
        <w:tab/>
      </w:r>
    </w:p>
    <w:p w:rsidR="00787987" w:rsidRPr="007859C3" w:rsidRDefault="00787987" w:rsidP="00296918">
      <w:pPr>
        <w:rPr>
          <w:rFonts w:ascii="Humnst777 BT" w:hAnsi="Humnst777 BT"/>
          <w:sz w:val="22"/>
          <w:szCs w:val="22"/>
        </w:rPr>
      </w:pPr>
      <w:r w:rsidRPr="007859C3">
        <w:rPr>
          <w:rFonts w:ascii="Humnst777 BT" w:hAnsi="Humnst777 BT"/>
          <w:sz w:val="22"/>
          <w:szCs w:val="22"/>
        </w:rPr>
        <w:t>Clenbuterolhydrochlorid</w:t>
      </w:r>
      <w:r w:rsidRPr="007859C3">
        <w:rPr>
          <w:rFonts w:ascii="Humnst777 BT" w:hAnsi="Humnst777 BT"/>
          <w:sz w:val="22"/>
          <w:szCs w:val="22"/>
        </w:rPr>
        <w:tab/>
      </w:r>
      <w:r w:rsidRPr="007859C3">
        <w:rPr>
          <w:rFonts w:ascii="Humnst777 BT" w:hAnsi="Humnst777 BT"/>
          <w:sz w:val="22"/>
          <w:szCs w:val="22"/>
        </w:rPr>
        <w:tab/>
        <w:t>0,025 mg</w:t>
      </w:r>
    </w:p>
    <w:p w:rsidR="00CE5E1C" w:rsidRDefault="00CE5E1C" w:rsidP="00296918">
      <w:pPr>
        <w:spacing w:line="240" w:lineRule="atLeast"/>
        <w:jc w:val="both"/>
        <w:rPr>
          <w:rFonts w:ascii="Humnst777 BT" w:hAnsi="Humnst777 BT" w:cs="Humnst777 BT"/>
          <w:sz w:val="22"/>
          <w:szCs w:val="22"/>
        </w:rPr>
      </w:pPr>
    </w:p>
    <w:p w:rsidR="00387A6A" w:rsidRDefault="00387A6A" w:rsidP="00296918">
      <w:pPr>
        <w:rPr>
          <w:rFonts w:ascii="Humnst777 BT" w:hAnsi="Humnst777 BT" w:cs="Humnst777 BT"/>
          <w:i/>
          <w:iCs/>
          <w:sz w:val="22"/>
          <w:szCs w:val="22"/>
        </w:rPr>
      </w:pPr>
      <w:r>
        <w:rPr>
          <w:rFonts w:ascii="Humnst777 BT" w:hAnsi="Humnst777 BT" w:cs="Humnst777 BT"/>
          <w:i/>
          <w:iCs/>
          <w:sz w:val="22"/>
          <w:szCs w:val="22"/>
        </w:rPr>
        <w:t>Sonstige Bestandteile</w:t>
      </w:r>
      <w:r w:rsidR="00F87D3A">
        <w:rPr>
          <w:rFonts w:ascii="Humnst777 BT" w:hAnsi="Humnst777 BT" w:cs="Humnst777 BT"/>
          <w:i/>
          <w:iCs/>
          <w:sz w:val="22"/>
          <w:szCs w:val="22"/>
        </w:rPr>
        <w:t>, deren Kenntnis für eine zweckmäßige Verabreichung des Mittels erforderlich ist:</w:t>
      </w:r>
    </w:p>
    <w:p w:rsidR="00787987" w:rsidRPr="007859C3" w:rsidRDefault="00787987" w:rsidP="00296918">
      <w:pPr>
        <w:jc w:val="both"/>
        <w:rPr>
          <w:rFonts w:ascii="Humnst777 BT" w:hAnsi="Humnst777 BT"/>
          <w:sz w:val="22"/>
          <w:szCs w:val="22"/>
        </w:rPr>
      </w:pPr>
      <w:r w:rsidRPr="007859C3">
        <w:rPr>
          <w:rFonts w:ascii="Humnst777 BT" w:hAnsi="Humnst777 BT"/>
          <w:sz w:val="22"/>
          <w:szCs w:val="22"/>
        </w:rPr>
        <w:t>Methyl-4-hydroxybenzoat</w:t>
      </w:r>
      <w:r w:rsidRPr="007859C3">
        <w:rPr>
          <w:rFonts w:ascii="Humnst777 BT" w:hAnsi="Humnst777 BT"/>
          <w:sz w:val="22"/>
          <w:szCs w:val="22"/>
        </w:rPr>
        <w:tab/>
      </w:r>
      <w:r w:rsidRPr="007859C3">
        <w:rPr>
          <w:rFonts w:ascii="Humnst777 BT" w:hAnsi="Humnst777 BT"/>
          <w:sz w:val="22"/>
          <w:szCs w:val="22"/>
        </w:rPr>
        <w:tab/>
        <w:t xml:space="preserve">  2,</w:t>
      </w:r>
      <w:r>
        <w:rPr>
          <w:rFonts w:ascii="Humnst777 BT" w:hAnsi="Humnst777 BT"/>
          <w:sz w:val="22"/>
          <w:szCs w:val="22"/>
        </w:rPr>
        <w:t>0</w:t>
      </w:r>
      <w:r w:rsidRPr="007859C3">
        <w:rPr>
          <w:rFonts w:ascii="Humnst777 BT" w:hAnsi="Humnst777 BT"/>
          <w:sz w:val="22"/>
          <w:szCs w:val="22"/>
        </w:rPr>
        <w:t>2 mg</w:t>
      </w:r>
    </w:p>
    <w:p w:rsidR="00787987" w:rsidRPr="007859C3" w:rsidRDefault="00787987" w:rsidP="00296918">
      <w:pPr>
        <w:jc w:val="both"/>
        <w:rPr>
          <w:rFonts w:ascii="Humnst777 BT" w:hAnsi="Humnst777 BT"/>
          <w:sz w:val="22"/>
          <w:szCs w:val="22"/>
        </w:rPr>
      </w:pPr>
      <w:r w:rsidRPr="007859C3">
        <w:rPr>
          <w:rFonts w:ascii="Humnst777 BT" w:hAnsi="Humnst777 BT"/>
          <w:sz w:val="22"/>
          <w:szCs w:val="22"/>
        </w:rPr>
        <w:t>Propyl-4-hydroxybenzoat</w:t>
      </w:r>
      <w:r w:rsidRPr="007859C3">
        <w:rPr>
          <w:rFonts w:ascii="Humnst777 BT" w:hAnsi="Humnst777 BT"/>
          <w:sz w:val="22"/>
          <w:szCs w:val="22"/>
        </w:rPr>
        <w:tab/>
      </w:r>
      <w:r w:rsidRPr="007859C3">
        <w:rPr>
          <w:rFonts w:ascii="Humnst777 BT" w:hAnsi="Humnst777 BT"/>
          <w:sz w:val="22"/>
          <w:szCs w:val="22"/>
        </w:rPr>
        <w:tab/>
        <w:t xml:space="preserve">  0,2</w:t>
      </w:r>
      <w:r>
        <w:rPr>
          <w:rFonts w:ascii="Humnst777 BT" w:hAnsi="Humnst777 BT"/>
          <w:sz w:val="22"/>
          <w:szCs w:val="22"/>
        </w:rPr>
        <w:t>6</w:t>
      </w:r>
      <w:r w:rsidRPr="007859C3">
        <w:rPr>
          <w:rFonts w:ascii="Humnst777 BT" w:hAnsi="Humnst777 BT"/>
          <w:sz w:val="22"/>
          <w:szCs w:val="22"/>
        </w:rPr>
        <w:t xml:space="preserve"> mg</w:t>
      </w:r>
    </w:p>
    <w:p w:rsidR="00F87D3A" w:rsidRPr="00DF373E" w:rsidRDefault="00F87D3A">
      <w:pPr>
        <w:jc w:val="both"/>
        <w:rPr>
          <w:rFonts w:ascii="Humnst777 BT" w:hAnsi="Humnst777 BT" w:cs="Humnst777 BT"/>
          <w:sz w:val="22"/>
          <w:szCs w:val="22"/>
        </w:rPr>
      </w:pPr>
    </w:p>
    <w:p w:rsidR="00F87D3A" w:rsidRDefault="00F87D3A" w:rsidP="00F87D3A">
      <w:pPr>
        <w:jc w:val="both"/>
        <w:rPr>
          <w:rFonts w:ascii="Humnst777 BT" w:hAnsi="Humnst777 BT" w:cs="Humnst777 BT"/>
          <w:sz w:val="22"/>
          <w:szCs w:val="22"/>
        </w:rPr>
      </w:pPr>
      <w:r>
        <w:rPr>
          <w:rFonts w:ascii="Humnst777 BT" w:hAnsi="Humnst777 BT" w:cs="Humnst777 BT"/>
          <w:b/>
          <w:bCs/>
          <w:sz w:val="22"/>
          <w:szCs w:val="22"/>
        </w:rPr>
        <w:t>Anwendungsgebiet(e)</w:t>
      </w:r>
    </w:p>
    <w:p w:rsidR="00E92758" w:rsidRPr="00E92758" w:rsidRDefault="00E92758" w:rsidP="00E92758">
      <w:pPr>
        <w:tabs>
          <w:tab w:val="left" w:pos="567"/>
          <w:tab w:val="left" w:pos="1418"/>
          <w:tab w:val="left" w:pos="2041"/>
          <w:tab w:val="left" w:pos="2836"/>
          <w:tab w:val="right" w:pos="5329"/>
          <w:tab w:val="left" w:pos="5386"/>
        </w:tabs>
        <w:ind w:left="2041" w:hanging="2041"/>
        <w:rPr>
          <w:rFonts w:ascii="Humnst777 BT" w:hAnsi="Humnst777 BT" w:cs="Humnst777 BT"/>
          <w:i/>
          <w:sz w:val="22"/>
          <w:szCs w:val="22"/>
        </w:rPr>
      </w:pPr>
      <w:r w:rsidRPr="00E92758">
        <w:rPr>
          <w:rFonts w:ascii="Humnst777 BT" w:hAnsi="Humnst777 BT" w:cs="Humnst777 BT"/>
          <w:i/>
          <w:sz w:val="22"/>
          <w:szCs w:val="22"/>
        </w:rPr>
        <w:t>Pferd:</w:t>
      </w:r>
    </w:p>
    <w:p w:rsidR="00E92758" w:rsidRPr="00E92758" w:rsidRDefault="00E92758" w:rsidP="00E92758">
      <w:pPr>
        <w:tabs>
          <w:tab w:val="left" w:pos="284"/>
        </w:tabs>
        <w:spacing w:line="260" w:lineRule="exact"/>
        <w:jc w:val="both"/>
        <w:rPr>
          <w:rFonts w:ascii="Humnst777 BT" w:hAnsi="Humnst777 BT"/>
          <w:sz w:val="22"/>
          <w:szCs w:val="22"/>
        </w:rPr>
      </w:pPr>
      <w:r w:rsidRPr="00E92758">
        <w:rPr>
          <w:rFonts w:ascii="Humnst777 BT" w:hAnsi="Humnst777 BT"/>
          <w:sz w:val="22"/>
          <w:szCs w:val="22"/>
        </w:rPr>
        <w:t xml:space="preserve">Atemwegserkrankungen, die mit Bronchospasmen einhergehen, wie subakute und chronische Bronchitis und Bronchiolitis, chronisch-obstruktive Lungenerkrankungen [„chronic obstructive pulmonary disease“ (COPD), neuerdings auch bezeichnet als „rezidivierende Atemwegsobstruktion“ / „recurrent airway obstruction (RAO)“], unterstützend bei akuter Bronchitis und Bronchopneumonie. </w:t>
      </w:r>
    </w:p>
    <w:p w:rsidR="00E92758" w:rsidRPr="00E92758" w:rsidRDefault="00E92758" w:rsidP="00E92758">
      <w:pPr>
        <w:tabs>
          <w:tab w:val="left" w:pos="284"/>
        </w:tabs>
        <w:spacing w:line="260" w:lineRule="exact"/>
        <w:jc w:val="both"/>
        <w:rPr>
          <w:rFonts w:ascii="Humnst777 BT" w:hAnsi="Humnst777 BT"/>
          <w:sz w:val="22"/>
          <w:szCs w:val="22"/>
        </w:rPr>
      </w:pPr>
    </w:p>
    <w:p w:rsidR="00E92758" w:rsidRPr="00E92758" w:rsidRDefault="00E92758" w:rsidP="00E92758">
      <w:pPr>
        <w:tabs>
          <w:tab w:val="left" w:pos="284"/>
        </w:tabs>
        <w:spacing w:line="260" w:lineRule="exact"/>
        <w:jc w:val="both"/>
        <w:rPr>
          <w:rFonts w:ascii="Humnst777 BT" w:hAnsi="Humnst777 BT"/>
          <w:sz w:val="22"/>
          <w:szCs w:val="22"/>
        </w:rPr>
      </w:pPr>
      <w:r w:rsidRPr="00E92758">
        <w:rPr>
          <w:rFonts w:ascii="Humnst777 BT" w:hAnsi="Humnst777 BT"/>
          <w:i/>
          <w:sz w:val="22"/>
          <w:szCs w:val="22"/>
        </w:rPr>
        <w:t>Hinweis:</w:t>
      </w:r>
    </w:p>
    <w:p w:rsidR="00787987" w:rsidRPr="009355F7" w:rsidRDefault="00E92758" w:rsidP="00E92758">
      <w:pPr>
        <w:jc w:val="both"/>
        <w:rPr>
          <w:rFonts w:ascii="Humnst777 BT" w:hAnsi="Humnst777 BT"/>
          <w:sz w:val="22"/>
          <w:szCs w:val="22"/>
        </w:rPr>
      </w:pPr>
      <w:r w:rsidRPr="00E92758">
        <w:rPr>
          <w:rFonts w:ascii="Humnst777 BT" w:hAnsi="Humnst777 BT"/>
          <w:sz w:val="22"/>
          <w:szCs w:val="22"/>
        </w:rPr>
        <w:t xml:space="preserve">Equipulmin Gel darf nur bei Equiden zur Behandlung von Atemwegserkrankungen angewendet werden. Bei Equiden, die zur Schlachtung vorgesehen sind, ist ein </w:t>
      </w:r>
      <w:r w:rsidRPr="00E92758">
        <w:rPr>
          <w:rFonts w:ascii="Humnst777 BT" w:hAnsi="Humnst777 BT"/>
          <w:sz w:val="22"/>
          <w:szCs w:val="22"/>
        </w:rPr>
        <w:lastRenderedPageBreak/>
        <w:t>Abgabebeleg gemäß § 13 Abs. 1 der Verordnung über tierärztliche Hausapotheken (TÄHAV) auszustellen.</w:t>
      </w:r>
    </w:p>
    <w:p w:rsidR="00787987" w:rsidRDefault="00787987" w:rsidP="00787987">
      <w:pPr>
        <w:jc w:val="both"/>
        <w:rPr>
          <w:rFonts w:ascii="Humnst777 BT" w:hAnsi="Humnst777 BT"/>
          <w:bCs/>
          <w:sz w:val="22"/>
        </w:rPr>
      </w:pPr>
    </w:p>
    <w:p w:rsidR="002D045B" w:rsidRDefault="002D045B" w:rsidP="002D045B">
      <w:pPr>
        <w:jc w:val="both"/>
        <w:rPr>
          <w:rFonts w:ascii="Humnst777 BT" w:hAnsi="Humnst777 BT" w:cs="Humnst777 BT"/>
          <w:b/>
          <w:bCs/>
          <w:sz w:val="22"/>
          <w:szCs w:val="22"/>
        </w:rPr>
      </w:pPr>
      <w:r>
        <w:rPr>
          <w:rFonts w:ascii="Humnst777 BT" w:hAnsi="Humnst777 BT" w:cs="Humnst777 BT"/>
          <w:b/>
          <w:bCs/>
          <w:sz w:val="22"/>
          <w:szCs w:val="22"/>
        </w:rPr>
        <w:t>Gegenanzeigen</w:t>
      </w:r>
    </w:p>
    <w:p w:rsidR="00E92758" w:rsidRPr="00E92758" w:rsidRDefault="00E92758" w:rsidP="00E92758">
      <w:pPr>
        <w:jc w:val="both"/>
        <w:rPr>
          <w:rFonts w:ascii="Humnst777 BT" w:hAnsi="Humnst777 BT"/>
          <w:sz w:val="22"/>
          <w:szCs w:val="22"/>
        </w:rPr>
      </w:pPr>
      <w:r w:rsidRPr="00E92758">
        <w:rPr>
          <w:rFonts w:ascii="Humnst777 BT" w:hAnsi="Humnst777 BT"/>
          <w:sz w:val="22"/>
          <w:szCs w:val="22"/>
        </w:rPr>
        <w:t xml:space="preserve">Hyperthyreose. Tachykarde Herzrhythmusstörungen. Tragende Stuten, 1 bis 2 Tage vor dem errechneten Geburtstermin bzw. Anzeichen der Nahenden Geburt. Säugende Stuten in den ersten Lebenswochen des Fohlens. Nicht bei Stuten anwenden, deren Milch für den menschlichen Verzehr vorgesehen ist. Nicht bei Equiden anwenden, die zu Mastzwecken gehalten werden. Überempfindlichkeit gegenüber Clenbuterol oder einem der sonstigen Bestandteile. </w:t>
      </w:r>
    </w:p>
    <w:p w:rsidR="00787987" w:rsidRPr="009355F7" w:rsidRDefault="00E92758" w:rsidP="00E92758">
      <w:pPr>
        <w:jc w:val="both"/>
        <w:rPr>
          <w:rFonts w:ascii="Humnst777 BT" w:hAnsi="Humnst777 BT"/>
          <w:sz w:val="22"/>
          <w:szCs w:val="22"/>
        </w:rPr>
      </w:pPr>
      <w:r w:rsidRPr="00E92758">
        <w:rPr>
          <w:rFonts w:ascii="Humnst777 BT" w:hAnsi="Humnst777 BT"/>
          <w:sz w:val="22"/>
          <w:szCs w:val="22"/>
        </w:rPr>
        <w:t>Eine Umwidmung des Arzneimittels gemäß § 56a Abs. 2 AMG für andere lebensmittelliefernde Tiere ist ausgeschlossen, ausgenommen hiervon andere Equiden, sofern sie nicht zur Schlachtung bestimmt sind.</w:t>
      </w:r>
    </w:p>
    <w:p w:rsidR="00787987" w:rsidRDefault="00787987" w:rsidP="002D045B">
      <w:pPr>
        <w:jc w:val="both"/>
        <w:rPr>
          <w:rFonts w:ascii="Humnst777 BT" w:hAnsi="Humnst777 BT" w:cs="Humnst777 BT"/>
          <w:b/>
          <w:bCs/>
          <w:sz w:val="22"/>
          <w:szCs w:val="22"/>
        </w:rPr>
      </w:pPr>
    </w:p>
    <w:p w:rsidR="002D045B" w:rsidRDefault="002D045B" w:rsidP="002D045B">
      <w:pPr>
        <w:jc w:val="both"/>
        <w:rPr>
          <w:rFonts w:ascii="Humnst777 BT" w:hAnsi="Humnst777 BT" w:cs="Humnst777 BT"/>
          <w:sz w:val="22"/>
          <w:szCs w:val="22"/>
        </w:rPr>
      </w:pPr>
      <w:r>
        <w:rPr>
          <w:rFonts w:ascii="Humnst777 BT" w:hAnsi="Humnst777 BT" w:cs="Humnst777 BT"/>
          <w:b/>
          <w:bCs/>
          <w:sz w:val="22"/>
          <w:szCs w:val="22"/>
        </w:rPr>
        <w:t>Nebenwirkungen</w:t>
      </w:r>
    </w:p>
    <w:p w:rsidR="00787987" w:rsidRPr="00374B4A" w:rsidRDefault="00E92758" w:rsidP="00E92758">
      <w:pPr>
        <w:tabs>
          <w:tab w:val="left" w:pos="709"/>
          <w:tab w:val="left" w:pos="1560"/>
          <w:tab w:val="left" w:pos="2041"/>
          <w:tab w:val="left" w:pos="2836"/>
          <w:tab w:val="right" w:pos="5329"/>
          <w:tab w:val="left" w:pos="5386"/>
        </w:tabs>
        <w:jc w:val="both"/>
        <w:rPr>
          <w:rFonts w:ascii="Humnst777 BT" w:hAnsi="Humnst777 BT"/>
          <w:sz w:val="22"/>
          <w:szCs w:val="22"/>
        </w:rPr>
      </w:pPr>
      <w:r w:rsidRPr="00E92758">
        <w:rPr>
          <w:rFonts w:ascii="Humnst777 BT" w:hAnsi="Humnst777 BT"/>
          <w:sz w:val="22"/>
          <w:szCs w:val="22"/>
        </w:rPr>
        <w:t>Tremor, Tachykardie, Schweißausbruch, Unruhe, Müdigkeit, Urtikaria. Verstärkte Blutungsgefahr bei Operationen.</w:t>
      </w:r>
    </w:p>
    <w:p w:rsidR="00E92758" w:rsidRPr="00E92758" w:rsidRDefault="00E92758" w:rsidP="00E92758">
      <w:pPr>
        <w:tabs>
          <w:tab w:val="left" w:pos="288"/>
          <w:tab w:val="left" w:pos="720"/>
        </w:tabs>
        <w:spacing w:line="240" w:lineRule="atLeast"/>
        <w:jc w:val="both"/>
        <w:rPr>
          <w:rFonts w:ascii="Humnst777 BT" w:hAnsi="Humnst777 BT"/>
          <w:sz w:val="22"/>
        </w:rPr>
      </w:pPr>
      <w:r w:rsidRPr="00E92758">
        <w:rPr>
          <w:rFonts w:ascii="Humnst777 BT" w:hAnsi="Humnst777 BT"/>
          <w:sz w:val="22"/>
        </w:rPr>
        <w:t>Falls Sie Nebenwirkungen, insbesondere solche, die nicht in der Packungsbeilage aufgeführt sind, bei Ihrem Tier feststellen, teilen Sie diese Ihrem Tierarzt oder Apotheker mit.</w:t>
      </w:r>
    </w:p>
    <w:p w:rsidR="00787987" w:rsidRDefault="00787987" w:rsidP="00E92758">
      <w:pPr>
        <w:tabs>
          <w:tab w:val="left" w:pos="288"/>
          <w:tab w:val="left" w:pos="720"/>
        </w:tabs>
        <w:spacing w:line="240" w:lineRule="atLeast"/>
        <w:jc w:val="both"/>
        <w:rPr>
          <w:rFonts w:ascii="Humnst777 BT" w:hAnsi="Humnst777 BT"/>
          <w:b/>
          <w:bCs/>
          <w:sz w:val="22"/>
        </w:rPr>
      </w:pPr>
    </w:p>
    <w:p w:rsidR="002D045B" w:rsidRPr="002D045B" w:rsidRDefault="002D045B" w:rsidP="002D045B">
      <w:pPr>
        <w:jc w:val="both"/>
        <w:rPr>
          <w:rFonts w:ascii="Humnst777 BT" w:hAnsi="Humnst777 BT" w:cs="Humnst777 BT"/>
          <w:b/>
          <w:bCs/>
          <w:sz w:val="22"/>
          <w:szCs w:val="22"/>
        </w:rPr>
      </w:pPr>
      <w:r w:rsidRPr="002D045B">
        <w:rPr>
          <w:rFonts w:ascii="Humnst777 BT" w:hAnsi="Humnst777 BT" w:cs="Humnst777 BT"/>
          <w:b/>
          <w:bCs/>
          <w:sz w:val="22"/>
          <w:szCs w:val="22"/>
        </w:rPr>
        <w:t>Zieltierart(en)</w:t>
      </w:r>
    </w:p>
    <w:p w:rsidR="002D045B" w:rsidRDefault="00787987" w:rsidP="002D045B">
      <w:pPr>
        <w:jc w:val="both"/>
        <w:rPr>
          <w:rFonts w:ascii="Humnst777 BT" w:hAnsi="Humnst777 BT" w:cs="Humnst777 BT"/>
          <w:sz w:val="22"/>
          <w:szCs w:val="22"/>
        </w:rPr>
      </w:pPr>
      <w:r>
        <w:rPr>
          <w:rFonts w:ascii="Humnst777 BT" w:hAnsi="Humnst777 BT" w:cs="Humnst777 BT"/>
          <w:sz w:val="22"/>
          <w:szCs w:val="22"/>
        </w:rPr>
        <w:t>Pferd</w:t>
      </w:r>
    </w:p>
    <w:p w:rsidR="002D045B" w:rsidRDefault="002D045B">
      <w:pPr>
        <w:jc w:val="both"/>
        <w:rPr>
          <w:rFonts w:ascii="Humnst777 BT" w:hAnsi="Humnst777 BT" w:cs="Humnst777 BT"/>
          <w:sz w:val="22"/>
          <w:szCs w:val="22"/>
        </w:rPr>
      </w:pPr>
    </w:p>
    <w:p w:rsidR="002D045B" w:rsidRDefault="002D045B" w:rsidP="002D045B">
      <w:pPr>
        <w:jc w:val="both"/>
        <w:rPr>
          <w:rFonts w:ascii="Humnst777 BT" w:hAnsi="Humnst777 BT" w:cs="Humnst777 BT"/>
          <w:b/>
          <w:bCs/>
          <w:sz w:val="22"/>
          <w:szCs w:val="22"/>
        </w:rPr>
      </w:pPr>
      <w:r>
        <w:rPr>
          <w:rFonts w:ascii="Humnst777 BT" w:hAnsi="Humnst777 BT" w:cs="Humnst777 BT"/>
          <w:b/>
          <w:bCs/>
          <w:sz w:val="22"/>
          <w:szCs w:val="22"/>
        </w:rPr>
        <w:t>Dosierung für jede Tierart, Art und Dauer der Anwendung</w:t>
      </w:r>
    </w:p>
    <w:p w:rsidR="00E92758" w:rsidRPr="00E92758" w:rsidRDefault="00E92758" w:rsidP="00E92758">
      <w:pPr>
        <w:jc w:val="both"/>
        <w:rPr>
          <w:rFonts w:ascii="Humnst777 BT" w:hAnsi="Humnst777 BT"/>
          <w:sz w:val="22"/>
          <w:szCs w:val="22"/>
        </w:rPr>
      </w:pPr>
      <w:r w:rsidRPr="00E92758">
        <w:rPr>
          <w:rFonts w:ascii="Humnst777 BT" w:hAnsi="Humnst777 BT"/>
          <w:sz w:val="22"/>
          <w:szCs w:val="22"/>
        </w:rPr>
        <w:t>Zum Eingeben mit dem Futter.</w:t>
      </w:r>
    </w:p>
    <w:p w:rsidR="00E92758" w:rsidRPr="00E92758" w:rsidRDefault="00E92758" w:rsidP="00E92758">
      <w:pPr>
        <w:jc w:val="both"/>
        <w:rPr>
          <w:rFonts w:ascii="Humnst777 BT" w:hAnsi="Humnst777 BT"/>
          <w:sz w:val="22"/>
          <w:szCs w:val="22"/>
        </w:rPr>
      </w:pPr>
    </w:p>
    <w:p w:rsidR="00E92758" w:rsidRPr="00E92758" w:rsidRDefault="00E92758" w:rsidP="00E92758">
      <w:pPr>
        <w:jc w:val="both"/>
        <w:rPr>
          <w:rFonts w:ascii="Humnst777 BT" w:hAnsi="Humnst777 BT"/>
          <w:bCs/>
          <w:i/>
          <w:sz w:val="22"/>
          <w:szCs w:val="22"/>
        </w:rPr>
      </w:pPr>
      <w:r w:rsidRPr="00E92758">
        <w:rPr>
          <w:rFonts w:ascii="Humnst777 BT" w:hAnsi="Humnst777 BT"/>
          <w:bCs/>
          <w:i/>
          <w:sz w:val="22"/>
          <w:szCs w:val="22"/>
        </w:rPr>
        <w:t>Pferde:</w:t>
      </w:r>
    </w:p>
    <w:p w:rsidR="00E92758" w:rsidRPr="00E92758" w:rsidRDefault="00E92758" w:rsidP="00E92758">
      <w:pPr>
        <w:jc w:val="both"/>
        <w:rPr>
          <w:rFonts w:ascii="Humnst777 BT" w:hAnsi="Humnst777 BT"/>
          <w:bCs/>
          <w:sz w:val="22"/>
          <w:szCs w:val="22"/>
        </w:rPr>
      </w:pPr>
      <w:r w:rsidRPr="00E92758">
        <w:rPr>
          <w:rFonts w:ascii="Humnst777 BT" w:hAnsi="Humnst777 BT"/>
          <w:bCs/>
          <w:sz w:val="22"/>
          <w:szCs w:val="22"/>
        </w:rPr>
        <w:t>0,8 µg Clenbuterolhydrochlorid / kg Körpergewicht (KGW), 2 x täglich,</w:t>
      </w:r>
    </w:p>
    <w:p w:rsidR="00E92758" w:rsidRPr="00E92758" w:rsidRDefault="00E92758" w:rsidP="00E92758">
      <w:pPr>
        <w:jc w:val="both"/>
        <w:rPr>
          <w:rFonts w:ascii="Humnst777 BT" w:hAnsi="Humnst777 BT"/>
          <w:bCs/>
          <w:sz w:val="22"/>
          <w:szCs w:val="22"/>
        </w:rPr>
      </w:pPr>
      <w:r w:rsidRPr="00E92758">
        <w:rPr>
          <w:rFonts w:ascii="Humnst777 BT" w:hAnsi="Humnst777 BT"/>
          <w:bCs/>
          <w:sz w:val="22"/>
          <w:szCs w:val="22"/>
        </w:rPr>
        <w:t xml:space="preserve">entsprechend 4 ml </w:t>
      </w:r>
      <w:r w:rsidRPr="00E92758">
        <w:rPr>
          <w:rFonts w:ascii="Humnst777 BT" w:hAnsi="Humnst777 BT"/>
          <w:b/>
          <w:bCs/>
          <w:sz w:val="22"/>
          <w:szCs w:val="22"/>
        </w:rPr>
        <w:t>Equipulmin</w:t>
      </w:r>
      <w:r w:rsidRPr="00E92758">
        <w:rPr>
          <w:rFonts w:ascii="Humnst777 BT" w:hAnsi="Humnst777 BT"/>
          <w:b/>
          <w:bCs/>
          <w:sz w:val="22"/>
          <w:szCs w:val="22"/>
          <w:vertAlign w:val="superscript"/>
        </w:rPr>
        <w:t>®</w:t>
      </w:r>
      <w:r w:rsidRPr="00E92758">
        <w:rPr>
          <w:rFonts w:ascii="Humnst777 BT" w:hAnsi="Humnst777 BT"/>
          <w:b/>
          <w:bCs/>
          <w:sz w:val="22"/>
          <w:szCs w:val="22"/>
        </w:rPr>
        <w:t xml:space="preserve"> Gel</w:t>
      </w:r>
      <w:r w:rsidRPr="00E92758">
        <w:rPr>
          <w:rFonts w:ascii="Humnst777 BT" w:hAnsi="Humnst777 BT"/>
          <w:bCs/>
          <w:sz w:val="22"/>
          <w:szCs w:val="22"/>
        </w:rPr>
        <w:t xml:space="preserve"> pro 125 kg KGW, 2 x täglich</w:t>
      </w:r>
    </w:p>
    <w:p w:rsidR="00E92758" w:rsidRPr="00E92758" w:rsidRDefault="00E92758" w:rsidP="00E92758">
      <w:pPr>
        <w:jc w:val="both"/>
        <w:rPr>
          <w:rFonts w:ascii="Humnst777 BT" w:hAnsi="Humnst777 BT"/>
          <w:bCs/>
          <w:sz w:val="22"/>
          <w:szCs w:val="22"/>
        </w:rPr>
      </w:pPr>
      <w:r w:rsidRPr="00E92758">
        <w:rPr>
          <w:rFonts w:ascii="Humnst777 BT" w:hAnsi="Humnst777 BT"/>
          <w:bCs/>
          <w:sz w:val="22"/>
          <w:szCs w:val="22"/>
        </w:rPr>
        <w:t>(1 Hub der beigefügten Dosierpumpe = 4 ml Gel).</w:t>
      </w:r>
    </w:p>
    <w:p w:rsidR="00E92758" w:rsidRPr="00E92758" w:rsidRDefault="00E92758" w:rsidP="00E92758">
      <w:pPr>
        <w:jc w:val="both"/>
        <w:rPr>
          <w:rFonts w:ascii="Humnst777 BT" w:hAnsi="Humnst777 BT"/>
          <w:bCs/>
          <w:sz w:val="22"/>
          <w:szCs w:val="22"/>
        </w:rPr>
      </w:pPr>
    </w:p>
    <w:p w:rsidR="00E92758" w:rsidRPr="00E92758" w:rsidRDefault="00E92758" w:rsidP="00E92758">
      <w:pPr>
        <w:jc w:val="both"/>
        <w:rPr>
          <w:rFonts w:ascii="Humnst777 BT" w:hAnsi="Humnst777 BT"/>
          <w:b/>
          <w:bCs/>
          <w:i/>
          <w:sz w:val="22"/>
          <w:szCs w:val="22"/>
        </w:rPr>
      </w:pPr>
      <w:r w:rsidRPr="00E92758">
        <w:rPr>
          <w:rFonts w:ascii="Humnst777 BT" w:hAnsi="Humnst777 BT"/>
          <w:b/>
          <w:bCs/>
          <w:i/>
          <w:sz w:val="22"/>
          <w:szCs w:val="22"/>
        </w:rPr>
        <w:t>Dosierungsbeispiel:</w:t>
      </w:r>
    </w:p>
    <w:p w:rsidR="00E92758" w:rsidRPr="00E92758" w:rsidRDefault="00E92758" w:rsidP="00E92758">
      <w:pPr>
        <w:jc w:val="both"/>
        <w:rPr>
          <w:rFonts w:ascii="Humnst777 BT" w:hAnsi="Humnst777 BT"/>
          <w:bCs/>
          <w:sz w:val="22"/>
          <w:szCs w:val="22"/>
        </w:rPr>
      </w:pPr>
      <w:r w:rsidRPr="00E92758">
        <w:rPr>
          <w:rFonts w:ascii="Humnst777 BT" w:hAnsi="Humnst777 BT"/>
          <w:bCs/>
          <w:sz w:val="22"/>
          <w:szCs w:val="22"/>
        </w:rPr>
        <w:t xml:space="preserve">Ein Pferd mit 500 kg KGW benötigt demnach morgens und abends jeweils 4 Hübe, dies entspricht 16 ml </w:t>
      </w:r>
      <w:r w:rsidRPr="00E92758">
        <w:rPr>
          <w:rFonts w:ascii="Humnst777 BT" w:hAnsi="Humnst777 BT"/>
          <w:b/>
          <w:bCs/>
          <w:sz w:val="22"/>
          <w:szCs w:val="22"/>
        </w:rPr>
        <w:t>Equipulmin</w:t>
      </w:r>
      <w:r w:rsidRPr="00E92758">
        <w:rPr>
          <w:rFonts w:ascii="Humnst777 BT" w:hAnsi="Humnst777 BT"/>
          <w:b/>
          <w:bCs/>
          <w:sz w:val="22"/>
          <w:szCs w:val="22"/>
          <w:vertAlign w:val="superscript"/>
        </w:rPr>
        <w:t>®</w:t>
      </w:r>
      <w:r w:rsidRPr="00E92758">
        <w:rPr>
          <w:rFonts w:ascii="Humnst777 BT" w:hAnsi="Humnst777 BT"/>
          <w:b/>
          <w:bCs/>
          <w:sz w:val="22"/>
          <w:szCs w:val="22"/>
        </w:rPr>
        <w:t xml:space="preserve"> Gel </w:t>
      </w:r>
      <w:r w:rsidRPr="00E92758">
        <w:rPr>
          <w:rFonts w:ascii="Humnst777 BT" w:hAnsi="Humnst777 BT"/>
          <w:bCs/>
          <w:sz w:val="22"/>
          <w:szCs w:val="22"/>
        </w:rPr>
        <w:t>zweimal täglich, im Abstand von 12 Stunden.</w:t>
      </w:r>
    </w:p>
    <w:p w:rsidR="00E92758" w:rsidRPr="00E92758" w:rsidRDefault="00E92758" w:rsidP="00E92758">
      <w:pPr>
        <w:jc w:val="both"/>
        <w:rPr>
          <w:rFonts w:ascii="Humnst777 BT" w:hAnsi="Humnst777 BT"/>
          <w:bCs/>
          <w:sz w:val="22"/>
          <w:szCs w:val="22"/>
        </w:rPr>
      </w:pPr>
    </w:p>
    <w:p w:rsidR="00E92758" w:rsidRPr="00E92758" w:rsidRDefault="00E92758" w:rsidP="00E92758">
      <w:pPr>
        <w:jc w:val="both"/>
        <w:rPr>
          <w:rFonts w:ascii="Humnst777 BT" w:hAnsi="Humnst777 BT"/>
          <w:b/>
          <w:bCs/>
          <w:i/>
          <w:sz w:val="22"/>
          <w:szCs w:val="22"/>
        </w:rPr>
      </w:pPr>
      <w:r w:rsidRPr="00E92758">
        <w:rPr>
          <w:rFonts w:ascii="Humnst777 BT" w:hAnsi="Humnst777 BT"/>
          <w:b/>
          <w:bCs/>
          <w:i/>
          <w:sz w:val="22"/>
          <w:szCs w:val="22"/>
        </w:rPr>
        <w:t>Behandlungsdauer:</w:t>
      </w:r>
    </w:p>
    <w:p w:rsidR="00787987" w:rsidRPr="009355F7" w:rsidRDefault="00E92758" w:rsidP="00E92758">
      <w:pPr>
        <w:jc w:val="both"/>
        <w:rPr>
          <w:rFonts w:ascii="Humnst777 BT" w:hAnsi="Humnst777 BT"/>
          <w:bCs/>
          <w:sz w:val="22"/>
          <w:szCs w:val="22"/>
        </w:rPr>
      </w:pPr>
      <w:r w:rsidRPr="00E92758">
        <w:rPr>
          <w:rFonts w:ascii="Humnst777 BT" w:hAnsi="Humnst777 BT"/>
          <w:bCs/>
          <w:sz w:val="22"/>
          <w:szCs w:val="22"/>
        </w:rPr>
        <w:t>Bei akuten und subakuten Erkrankungen 10 – 14 Tage, in chronischen Fällen auch länger. Bei deutlicher Besserung der Symptomatik kann die Dosis nach etwa 10 Tagen auf die Hälfte reduziert werden.</w:t>
      </w:r>
    </w:p>
    <w:p w:rsidR="00CD48A5" w:rsidRDefault="00CD48A5" w:rsidP="00CD48A5">
      <w:pPr>
        <w:jc w:val="both"/>
        <w:rPr>
          <w:rFonts w:ascii="Humnst777 BT" w:hAnsi="Humnst777 BT" w:cs="Humnst777 BT"/>
          <w:b/>
          <w:bCs/>
          <w:sz w:val="22"/>
          <w:szCs w:val="22"/>
        </w:rPr>
      </w:pPr>
    </w:p>
    <w:p w:rsidR="00CD48A5" w:rsidRPr="00A05DC6" w:rsidRDefault="00CD48A5" w:rsidP="00CD48A5">
      <w:pPr>
        <w:jc w:val="both"/>
        <w:rPr>
          <w:rFonts w:ascii="Humnst777 BT" w:hAnsi="Humnst777 BT" w:cs="Humnst777 BT"/>
          <w:b/>
          <w:bCs/>
          <w:sz w:val="22"/>
          <w:szCs w:val="22"/>
        </w:rPr>
      </w:pPr>
      <w:r w:rsidRPr="00A05DC6">
        <w:rPr>
          <w:rFonts w:ascii="Humnst777 BT" w:hAnsi="Humnst777 BT" w:cs="Humnst777 BT"/>
          <w:b/>
          <w:bCs/>
          <w:sz w:val="22"/>
          <w:szCs w:val="22"/>
        </w:rPr>
        <w:t>Wartezeit</w:t>
      </w:r>
    </w:p>
    <w:p w:rsidR="009D2CF6" w:rsidRPr="009355F7" w:rsidRDefault="009D2CF6" w:rsidP="009D2CF6">
      <w:pPr>
        <w:tabs>
          <w:tab w:val="left" w:pos="288"/>
          <w:tab w:val="left" w:pos="720"/>
        </w:tabs>
        <w:spacing w:line="240" w:lineRule="atLeast"/>
        <w:rPr>
          <w:rFonts w:ascii="Humnst777 BT" w:hAnsi="Humnst777 BT"/>
          <w:i/>
          <w:sz w:val="22"/>
        </w:rPr>
      </w:pPr>
      <w:r w:rsidRPr="009355F7">
        <w:rPr>
          <w:rFonts w:ascii="Humnst777 BT" w:hAnsi="Humnst777 BT"/>
          <w:i/>
          <w:sz w:val="22"/>
        </w:rPr>
        <w:t>Pferd:</w:t>
      </w:r>
    </w:p>
    <w:p w:rsidR="009D2CF6" w:rsidRDefault="009D2CF6" w:rsidP="009D2CF6">
      <w:pPr>
        <w:tabs>
          <w:tab w:val="left" w:pos="288"/>
          <w:tab w:val="left" w:pos="720"/>
        </w:tabs>
        <w:spacing w:line="240" w:lineRule="atLeast"/>
        <w:rPr>
          <w:rFonts w:ascii="Humnst777 BT" w:hAnsi="Humnst777 BT"/>
          <w:sz w:val="22"/>
        </w:rPr>
      </w:pPr>
      <w:r w:rsidRPr="009355F7">
        <w:rPr>
          <w:rFonts w:ascii="Humnst777 BT" w:hAnsi="Humnst777 BT"/>
          <w:iCs/>
          <w:sz w:val="22"/>
        </w:rPr>
        <w:t>Essbare Gewebe</w:t>
      </w:r>
      <w:r>
        <w:rPr>
          <w:rFonts w:ascii="Humnst777 BT" w:hAnsi="Humnst777 BT"/>
          <w:sz w:val="22"/>
        </w:rPr>
        <w:tab/>
      </w:r>
      <w:r>
        <w:rPr>
          <w:rFonts w:ascii="Humnst777 BT" w:hAnsi="Humnst777 BT"/>
          <w:sz w:val="22"/>
        </w:rPr>
        <w:tab/>
        <w:t>28 Tage</w:t>
      </w:r>
    </w:p>
    <w:p w:rsidR="009D2CF6" w:rsidRDefault="009D2CF6" w:rsidP="009D2CF6">
      <w:pPr>
        <w:tabs>
          <w:tab w:val="left" w:pos="288"/>
          <w:tab w:val="left" w:pos="720"/>
        </w:tabs>
        <w:spacing w:line="240" w:lineRule="atLeast"/>
        <w:rPr>
          <w:rFonts w:ascii="Humnst777 BT" w:hAnsi="Humnst777 BT"/>
          <w:sz w:val="22"/>
        </w:rPr>
      </w:pPr>
      <w:r>
        <w:rPr>
          <w:rFonts w:ascii="Humnst777 BT" w:hAnsi="Humnst777 BT"/>
          <w:sz w:val="22"/>
          <w:szCs w:val="22"/>
        </w:rPr>
        <w:t>Nicht bei Stuten anwenden, deren Milch für den menschlichen Verzehr vorgesehen ist.</w:t>
      </w:r>
    </w:p>
    <w:p w:rsidR="00CD48A5" w:rsidRDefault="00CD48A5" w:rsidP="00CD48A5">
      <w:pPr>
        <w:jc w:val="both"/>
        <w:rPr>
          <w:rFonts w:ascii="Humnst777 BT" w:hAnsi="Humnst777 BT" w:cs="Humnst777 BT"/>
          <w:sz w:val="22"/>
          <w:szCs w:val="22"/>
        </w:rPr>
      </w:pPr>
    </w:p>
    <w:p w:rsidR="00CD48A5" w:rsidRPr="008F6B1C" w:rsidRDefault="00CD48A5" w:rsidP="00CD48A5">
      <w:pPr>
        <w:jc w:val="both"/>
        <w:rPr>
          <w:rFonts w:ascii="Humnst777 BT" w:hAnsi="Humnst777 BT" w:cs="Humnst777 BT"/>
          <w:b/>
          <w:bCs/>
          <w:sz w:val="22"/>
          <w:szCs w:val="22"/>
        </w:rPr>
      </w:pPr>
      <w:r w:rsidRPr="008F6B1C">
        <w:rPr>
          <w:rFonts w:ascii="Humnst777 BT" w:hAnsi="Humnst777 BT" w:cs="Humnst777 BT"/>
          <w:b/>
          <w:bCs/>
          <w:sz w:val="22"/>
          <w:szCs w:val="22"/>
        </w:rPr>
        <w:t>Besondere Lagerungshinweise</w:t>
      </w:r>
    </w:p>
    <w:p w:rsidR="009D2CF6" w:rsidRDefault="009D2CF6" w:rsidP="009D2CF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Humnst777 BT" w:hAnsi="Humnst777 BT"/>
          <w:sz w:val="22"/>
        </w:rPr>
      </w:pPr>
      <w:r>
        <w:rPr>
          <w:rFonts w:ascii="Humnst777 BT" w:hAnsi="Humnst777 BT"/>
          <w:sz w:val="22"/>
        </w:rPr>
        <w:t>Das Arzneimittel nach Ablauf des auf dem Behältnis und der äußeren Umhüllung angegebenen Verfalldatums nicht mehr anwenden.</w:t>
      </w:r>
      <w:r w:rsidR="00951FB3">
        <w:rPr>
          <w:rFonts w:ascii="Humnst777 BT" w:hAnsi="Humnst777 BT"/>
          <w:sz w:val="22"/>
        </w:rPr>
        <w:t xml:space="preserve"> Arzneimittel unzugänglich für Kinder aufbewahren. </w:t>
      </w:r>
      <w:r>
        <w:rPr>
          <w:rFonts w:ascii="Humnst777 BT" w:hAnsi="Humnst777 BT"/>
          <w:sz w:val="22"/>
        </w:rPr>
        <w:t>Nicht über 25°C lagern bzw. aufbewahren.</w:t>
      </w:r>
    </w:p>
    <w:p w:rsidR="009D2CF6" w:rsidRDefault="00E92758" w:rsidP="009D2CF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Humnst777 BT" w:hAnsi="Humnst777 BT"/>
          <w:sz w:val="22"/>
        </w:rPr>
      </w:pPr>
      <w:r>
        <w:rPr>
          <w:rFonts w:ascii="Humnst777 BT" w:hAnsi="Humnst777 BT"/>
          <w:sz w:val="22"/>
        </w:rPr>
        <w:t>Haltbarkeit des Tiera</w:t>
      </w:r>
      <w:r w:rsidR="009D2CF6">
        <w:rPr>
          <w:rFonts w:ascii="Humnst777 BT" w:hAnsi="Humnst777 BT"/>
          <w:sz w:val="22"/>
        </w:rPr>
        <w:t>rzneimittels nach Anbruch des Behältnisses: 3 Monate</w:t>
      </w:r>
    </w:p>
    <w:p w:rsidR="009D2CF6" w:rsidRDefault="009D2CF6" w:rsidP="009D2CF6">
      <w:pPr>
        <w:jc w:val="both"/>
        <w:rPr>
          <w:rFonts w:ascii="Humnst777 BT" w:hAnsi="Humnst777 BT"/>
          <w:sz w:val="22"/>
          <w:szCs w:val="22"/>
        </w:rPr>
      </w:pPr>
      <w:r w:rsidRPr="00073DF6">
        <w:rPr>
          <w:rFonts w:ascii="Humnst777 BT" w:hAnsi="Humnst777 BT"/>
          <w:sz w:val="22"/>
          <w:szCs w:val="22"/>
        </w:rPr>
        <w:lastRenderedPageBreak/>
        <w:t>Im Behältnis verbleibende Reste des Arzneimittels sind nach Ablauf des Haltbarkeitsdatums nach Anbruch zu verwerfen.</w:t>
      </w:r>
    </w:p>
    <w:p w:rsidR="00CD48A5" w:rsidRDefault="00CD48A5" w:rsidP="00CD48A5">
      <w:pPr>
        <w:jc w:val="both"/>
        <w:rPr>
          <w:rFonts w:ascii="Humnst777 BT" w:hAnsi="Humnst777 BT" w:cs="Humnst777 BT"/>
          <w:sz w:val="22"/>
          <w:szCs w:val="22"/>
        </w:rPr>
      </w:pPr>
    </w:p>
    <w:p w:rsidR="00CD48A5" w:rsidRPr="00761CC5" w:rsidRDefault="00CD48A5" w:rsidP="00CD48A5">
      <w:pPr>
        <w:jc w:val="both"/>
        <w:rPr>
          <w:rFonts w:ascii="Humnst777 BT" w:hAnsi="Humnst777 BT" w:cs="Humnst777 BT"/>
          <w:b/>
          <w:bCs/>
          <w:sz w:val="22"/>
          <w:szCs w:val="22"/>
        </w:rPr>
      </w:pPr>
      <w:r w:rsidRPr="00761CC5">
        <w:rPr>
          <w:rFonts w:ascii="Humnst777 BT" w:hAnsi="Humnst777 BT" w:cs="Humnst777 BT"/>
          <w:b/>
          <w:bCs/>
          <w:sz w:val="22"/>
          <w:szCs w:val="22"/>
        </w:rPr>
        <w:t>Besondere Warnhinweise</w:t>
      </w:r>
    </w:p>
    <w:p w:rsidR="00DF5791" w:rsidRPr="00DF5791" w:rsidRDefault="00DF5791" w:rsidP="00DF5791">
      <w:pPr>
        <w:jc w:val="both"/>
        <w:rPr>
          <w:rFonts w:ascii="Humnst777 BT" w:hAnsi="Humnst777 BT"/>
          <w:b/>
          <w:i/>
          <w:iCs/>
          <w:sz w:val="22"/>
          <w:szCs w:val="22"/>
        </w:rPr>
      </w:pPr>
      <w:r w:rsidRPr="00DF5791">
        <w:rPr>
          <w:rFonts w:ascii="Humnst777 BT" w:hAnsi="Humnst777 BT"/>
          <w:b/>
          <w:i/>
          <w:iCs/>
          <w:sz w:val="22"/>
          <w:szCs w:val="22"/>
        </w:rPr>
        <w:t>Besondere Vorsichtsmaßnahmen für die Anwendung bei Tieren:</w:t>
      </w:r>
    </w:p>
    <w:p w:rsidR="00DF5791" w:rsidRPr="00DF5791" w:rsidRDefault="00DF5791" w:rsidP="00DF5791">
      <w:pPr>
        <w:jc w:val="both"/>
        <w:rPr>
          <w:rFonts w:ascii="Humnst777 BT" w:hAnsi="Humnst777 BT"/>
          <w:sz w:val="22"/>
          <w:szCs w:val="22"/>
        </w:rPr>
      </w:pPr>
      <w:r>
        <w:rPr>
          <w:rFonts w:ascii="Humnst777 BT" w:hAnsi="Humnst777 BT"/>
          <w:sz w:val="22"/>
          <w:szCs w:val="22"/>
        </w:rPr>
        <w:t>Keine Angaben.</w:t>
      </w:r>
    </w:p>
    <w:p w:rsidR="00DF5791" w:rsidRPr="00DF5791" w:rsidRDefault="00DF5791" w:rsidP="00DF5791">
      <w:pPr>
        <w:tabs>
          <w:tab w:val="left" w:pos="1134"/>
          <w:tab w:val="left" w:pos="2268"/>
          <w:tab w:val="left" w:pos="2836"/>
          <w:tab w:val="right" w:pos="5329"/>
          <w:tab w:val="left" w:pos="5386"/>
        </w:tabs>
        <w:jc w:val="both"/>
        <w:rPr>
          <w:rFonts w:ascii="Humnst777 BT" w:hAnsi="Humnst777 BT"/>
          <w:sz w:val="22"/>
          <w:szCs w:val="22"/>
        </w:rPr>
      </w:pPr>
    </w:p>
    <w:p w:rsidR="00DF5791" w:rsidRPr="00DF5791" w:rsidRDefault="00DF5791" w:rsidP="00DF5791">
      <w:pPr>
        <w:jc w:val="both"/>
        <w:rPr>
          <w:rFonts w:ascii="Humnst777 BT" w:hAnsi="Humnst777 BT"/>
          <w:i/>
          <w:iCs/>
          <w:sz w:val="22"/>
          <w:szCs w:val="22"/>
        </w:rPr>
      </w:pPr>
      <w:r w:rsidRPr="00DF5791">
        <w:rPr>
          <w:rFonts w:ascii="Humnst777 BT" w:hAnsi="Humnst777 BT"/>
          <w:i/>
          <w:iCs/>
          <w:sz w:val="22"/>
          <w:szCs w:val="22"/>
        </w:rPr>
        <w:t>Besondere Vorsichtsmaßnahmen für den Anwender:</w:t>
      </w:r>
    </w:p>
    <w:p w:rsidR="00DF5791" w:rsidRPr="00DF5791" w:rsidRDefault="00E92758" w:rsidP="00DF5791">
      <w:pPr>
        <w:jc w:val="both"/>
        <w:rPr>
          <w:rFonts w:ascii="Humnst777 BT" w:hAnsi="Humnst777 BT"/>
          <w:sz w:val="22"/>
          <w:szCs w:val="22"/>
        </w:rPr>
      </w:pPr>
      <w:r w:rsidRPr="00E92758">
        <w:rPr>
          <w:rFonts w:ascii="Humnst777 BT" w:hAnsi="Humnst777 BT"/>
          <w:sz w:val="22"/>
          <w:szCs w:val="22"/>
        </w:rPr>
        <w:t>Personen mit bekannter Überempfindlichkeit gegenüber dem Wirkstoff sollen den Kontakt mit dem Tierarzneimittel vermeiden. Der direkte Kontakt mit der Haut / Schleimhaut ist zu vermeiden, geeignete Schutzhandschuhe tragen. Bei Kontakt mit Haut / Schleimhaut sollte das Produkt sofort vollständig abgewaschen werden. Bei versehentlichem Augenkontakt ist sofort mit viel Wasser zu spülen. Bei Umgang mit dem Tierarzneimittel nicht rauchen, essen oder trinken. Nach Gebrauch Hände waschen.</w:t>
      </w:r>
    </w:p>
    <w:p w:rsidR="00DF5791" w:rsidRPr="00DF5791" w:rsidRDefault="00DF5791" w:rsidP="00CD48A5">
      <w:pPr>
        <w:jc w:val="both"/>
        <w:rPr>
          <w:rFonts w:ascii="Humnst777 BT" w:hAnsi="Humnst777 BT" w:cs="Humnst777 BT"/>
          <w:b/>
          <w:bCs/>
          <w:i/>
          <w:iCs/>
          <w:sz w:val="22"/>
          <w:szCs w:val="22"/>
        </w:rPr>
      </w:pPr>
    </w:p>
    <w:p w:rsidR="00CD48A5" w:rsidRPr="00DF373E" w:rsidRDefault="00CD48A5" w:rsidP="00CD48A5">
      <w:pPr>
        <w:jc w:val="both"/>
        <w:rPr>
          <w:rFonts w:ascii="Humnst777 BT" w:hAnsi="Humnst777 BT" w:cs="Humnst777 BT"/>
          <w:b/>
          <w:bCs/>
          <w:i/>
          <w:iCs/>
          <w:sz w:val="22"/>
          <w:szCs w:val="22"/>
        </w:rPr>
      </w:pPr>
      <w:r w:rsidRPr="00DF373E">
        <w:rPr>
          <w:rFonts w:ascii="Humnst777 BT" w:hAnsi="Humnst777 BT" w:cs="Humnst777 BT"/>
          <w:b/>
          <w:bCs/>
          <w:i/>
          <w:iCs/>
          <w:sz w:val="22"/>
          <w:szCs w:val="22"/>
        </w:rPr>
        <w:t xml:space="preserve">Anwendung während </w:t>
      </w:r>
      <w:r w:rsidR="00A008E7">
        <w:rPr>
          <w:rFonts w:ascii="Humnst777 BT" w:hAnsi="Humnst777 BT" w:cs="Humnst777 BT"/>
          <w:b/>
          <w:bCs/>
          <w:i/>
          <w:iCs/>
          <w:sz w:val="22"/>
          <w:szCs w:val="22"/>
        </w:rPr>
        <w:t>d</w:t>
      </w:r>
      <w:r w:rsidRPr="00DF373E">
        <w:rPr>
          <w:rFonts w:ascii="Humnst777 BT" w:hAnsi="Humnst777 BT" w:cs="Humnst777 BT"/>
          <w:b/>
          <w:bCs/>
          <w:i/>
          <w:iCs/>
          <w:sz w:val="22"/>
          <w:szCs w:val="22"/>
        </w:rPr>
        <w:t>er Trächtigkeit, Laktation oder der Legeperiode</w:t>
      </w:r>
    </w:p>
    <w:p w:rsidR="009D2CF6" w:rsidRPr="009D2CF6" w:rsidRDefault="00E92758" w:rsidP="009D2CF6">
      <w:pPr>
        <w:jc w:val="both"/>
        <w:rPr>
          <w:rFonts w:ascii="Humnst777 BT" w:hAnsi="Humnst777 BT" w:cs="Humnst777 BT"/>
          <w:sz w:val="22"/>
          <w:szCs w:val="22"/>
        </w:rPr>
      </w:pPr>
      <w:r w:rsidRPr="00E92758">
        <w:rPr>
          <w:rFonts w:ascii="Humnst777 BT" w:hAnsi="Humnst777 BT" w:cs="Humnst777 BT"/>
          <w:sz w:val="22"/>
          <w:szCs w:val="22"/>
        </w:rPr>
        <w:t>Bei tragenden Stuten sollte die Behandlung 1 – 2 Tage vor dem errechneten Geburtstermin bzw. bei Anzeichen der nahenden Geburt abgebrochen werden. Da Clenbuterolhydrochlorid mit der Milch ausgeschieden wird, sollte Equipulmin</w:t>
      </w:r>
      <w:r w:rsidRPr="00E92758">
        <w:rPr>
          <w:rFonts w:ascii="Humnst777 BT" w:hAnsi="Humnst777 BT" w:cs="Humnst777 BT"/>
          <w:sz w:val="22"/>
          <w:szCs w:val="22"/>
          <w:vertAlign w:val="superscript"/>
        </w:rPr>
        <w:t>®</w:t>
      </w:r>
      <w:r w:rsidRPr="00E92758">
        <w:rPr>
          <w:rFonts w:ascii="Humnst777 BT" w:hAnsi="Humnst777 BT" w:cs="Humnst777 BT"/>
          <w:sz w:val="22"/>
          <w:szCs w:val="22"/>
        </w:rPr>
        <w:t xml:space="preserve"> Gel währende der ersten zwei Lebensmonate des Fohlens nicht an das säugende Muttertier verabreicht werden.</w:t>
      </w:r>
    </w:p>
    <w:p w:rsidR="00DF373E" w:rsidRPr="00DF373E" w:rsidRDefault="00DF373E" w:rsidP="002D045B">
      <w:pPr>
        <w:jc w:val="both"/>
        <w:rPr>
          <w:rFonts w:ascii="Humnst777 BT" w:hAnsi="Humnst777 BT" w:cs="Humnst777 BT"/>
          <w:sz w:val="22"/>
          <w:szCs w:val="22"/>
        </w:rPr>
      </w:pPr>
    </w:p>
    <w:p w:rsidR="002D045B" w:rsidRPr="00DF5791" w:rsidRDefault="002D045B" w:rsidP="002D045B">
      <w:pPr>
        <w:jc w:val="both"/>
        <w:rPr>
          <w:rFonts w:ascii="Humnst777 BT" w:hAnsi="Humnst777 BT" w:cs="Humnst777 BT"/>
          <w:b/>
          <w:bCs/>
          <w:i/>
          <w:iCs/>
          <w:sz w:val="22"/>
          <w:szCs w:val="22"/>
        </w:rPr>
      </w:pPr>
      <w:r w:rsidRPr="00DF5791">
        <w:rPr>
          <w:rFonts w:ascii="Humnst777 BT" w:hAnsi="Humnst777 BT" w:cs="Humnst777 BT"/>
          <w:b/>
          <w:bCs/>
          <w:i/>
          <w:iCs/>
          <w:sz w:val="22"/>
          <w:szCs w:val="22"/>
        </w:rPr>
        <w:t xml:space="preserve">Wechselwirkungen mit anderen </w:t>
      </w:r>
      <w:r w:rsidR="00DF5791" w:rsidRPr="00DF5791">
        <w:rPr>
          <w:rFonts w:ascii="Humnst777 BT" w:hAnsi="Humnst777 BT"/>
          <w:b/>
          <w:i/>
          <w:iCs/>
          <w:sz w:val="22"/>
          <w:szCs w:val="22"/>
        </w:rPr>
        <w:t>Arzneimitteln oder andere Wechselwirkungen:</w:t>
      </w:r>
    </w:p>
    <w:p w:rsidR="009D2CF6" w:rsidRDefault="00E92758" w:rsidP="009D2CF6">
      <w:pPr>
        <w:jc w:val="both"/>
        <w:rPr>
          <w:rFonts w:ascii="Humnst777 BT" w:hAnsi="Humnst777 BT"/>
          <w:sz w:val="22"/>
          <w:szCs w:val="22"/>
        </w:rPr>
      </w:pPr>
      <w:r w:rsidRPr="00E92758">
        <w:rPr>
          <w:rFonts w:ascii="Humnst777 BT" w:hAnsi="Humnst777 BT"/>
          <w:sz w:val="22"/>
          <w:szCs w:val="22"/>
        </w:rPr>
        <w:t>Wirkungsverstärkung einschließlich vermehrter Nebenwirkungen bei gleichzeitiger Anwendung mit Glukokortikoiden, Anticholinergika und Methylxanthinen. Bei gleichzeitiger Gabe von halogenhaltigen Narkotika (Isofluran, Methoxyfluran) erhöhte Gefahr ventrikulärer Arrhythmien. Erhöhte Arrhythmiegefahr bei gleichzeitiger Gabe von Digitalisglykosiden. Abschwächung der Wirkung von Wehenmitteln (Oxytocin, Prostaglandin F</w:t>
      </w:r>
      <w:r w:rsidRPr="00E92758">
        <w:rPr>
          <w:rFonts w:ascii="Humnst777 BT" w:hAnsi="Humnst777 BT"/>
          <w:sz w:val="22"/>
          <w:szCs w:val="22"/>
          <w:vertAlign w:val="subscript"/>
        </w:rPr>
        <w:t>2</w:t>
      </w:r>
      <w:r w:rsidRPr="00E92758">
        <w:rPr>
          <w:rFonts w:ascii="Humnst777 BT" w:hAnsi="Humnst777 BT"/>
          <w:sz w:val="22"/>
          <w:szCs w:val="22"/>
        </w:rPr>
        <w:t>–alpha).</w:t>
      </w:r>
    </w:p>
    <w:p w:rsidR="009D2CF6" w:rsidRDefault="009D2CF6" w:rsidP="002D045B">
      <w:pPr>
        <w:jc w:val="both"/>
        <w:rPr>
          <w:rFonts w:ascii="Humnst777 BT" w:hAnsi="Humnst777 BT" w:cs="Humnst777 BT"/>
          <w:b/>
          <w:bCs/>
          <w:sz w:val="22"/>
          <w:szCs w:val="22"/>
        </w:rPr>
      </w:pPr>
    </w:p>
    <w:p w:rsidR="002D045B" w:rsidRPr="00761CC5" w:rsidRDefault="002D045B" w:rsidP="002D045B">
      <w:pPr>
        <w:jc w:val="both"/>
        <w:rPr>
          <w:rFonts w:ascii="Humnst777 BT" w:hAnsi="Humnst777 BT" w:cs="Humnst777 BT"/>
          <w:b/>
          <w:bCs/>
          <w:i/>
          <w:iCs/>
          <w:sz w:val="22"/>
          <w:szCs w:val="22"/>
        </w:rPr>
      </w:pPr>
      <w:r w:rsidRPr="00761CC5">
        <w:rPr>
          <w:rFonts w:ascii="Humnst777 BT" w:hAnsi="Humnst777 BT" w:cs="Humnst777 BT"/>
          <w:b/>
          <w:bCs/>
          <w:i/>
          <w:iCs/>
          <w:sz w:val="22"/>
          <w:szCs w:val="22"/>
        </w:rPr>
        <w:t>Überdosierung (Symptome, Notfallmaßnahmen und Gegenmittel), falls erforderlich</w:t>
      </w:r>
    </w:p>
    <w:p w:rsidR="009D2CF6" w:rsidRPr="000B42D8" w:rsidRDefault="00E92758" w:rsidP="009D2CF6">
      <w:pPr>
        <w:jc w:val="both"/>
        <w:rPr>
          <w:rFonts w:ascii="Humnst777 BT" w:hAnsi="Humnst777 BT"/>
          <w:sz w:val="22"/>
          <w:szCs w:val="22"/>
        </w:rPr>
      </w:pPr>
      <w:r w:rsidRPr="00E92758">
        <w:rPr>
          <w:rFonts w:ascii="Humnst777 BT" w:hAnsi="Humnst777 BT"/>
          <w:sz w:val="22"/>
          <w:szCs w:val="22"/>
        </w:rPr>
        <w:t>Bei Überdosierung kann es zu stärkeren Nebenwirkungen kommen. In schweren Fällen (bedrohliche Herzrhythmusstörungen) ß-Adrenolytika (Propranolol, Carazolol) als Antidot.</w:t>
      </w:r>
    </w:p>
    <w:p w:rsidR="002D045B" w:rsidRDefault="002D045B" w:rsidP="002D045B">
      <w:pPr>
        <w:jc w:val="both"/>
        <w:rPr>
          <w:rFonts w:ascii="Humnst777 BT" w:hAnsi="Humnst777 BT" w:cs="Humnst777 BT"/>
          <w:sz w:val="22"/>
          <w:szCs w:val="22"/>
        </w:rPr>
      </w:pPr>
    </w:p>
    <w:p w:rsidR="002D045B" w:rsidRPr="00761CC5" w:rsidRDefault="002D045B" w:rsidP="002D045B">
      <w:pPr>
        <w:jc w:val="both"/>
        <w:rPr>
          <w:rFonts w:ascii="Humnst777 BT" w:hAnsi="Humnst777 BT" w:cs="Humnst777 BT"/>
          <w:b/>
          <w:bCs/>
          <w:i/>
          <w:iCs/>
          <w:sz w:val="22"/>
          <w:szCs w:val="22"/>
        </w:rPr>
      </w:pPr>
      <w:r w:rsidRPr="00761CC5">
        <w:rPr>
          <w:rFonts w:ascii="Humnst777 BT" w:hAnsi="Humnst777 BT" w:cs="Humnst777 BT"/>
          <w:b/>
          <w:bCs/>
          <w:i/>
          <w:iCs/>
          <w:sz w:val="22"/>
          <w:szCs w:val="22"/>
        </w:rPr>
        <w:t>Inkompatibilitäten</w:t>
      </w:r>
    </w:p>
    <w:p w:rsidR="009D2CF6" w:rsidRDefault="00E92758" w:rsidP="009D2CF6">
      <w:pPr>
        <w:jc w:val="both"/>
        <w:rPr>
          <w:rFonts w:ascii="Humnst777 BT" w:hAnsi="Humnst777 BT" w:cs="Humnst777 BT"/>
          <w:sz w:val="22"/>
          <w:szCs w:val="22"/>
        </w:rPr>
      </w:pPr>
      <w:r w:rsidRPr="00E92758">
        <w:rPr>
          <w:rFonts w:ascii="Humnst777 BT" w:hAnsi="Humnst777 BT" w:cs="Humnst777 BT"/>
          <w:sz w:val="22"/>
          <w:szCs w:val="22"/>
        </w:rPr>
        <w:t>Da keine Inkompatibilitätsstudien durchgeführt wurden, darf das Arzneimittel nicht mit anderen Tierarzneimitteln gemischt werden.</w:t>
      </w:r>
    </w:p>
    <w:p w:rsidR="009D2CF6" w:rsidRPr="009D2CF6" w:rsidRDefault="009D2CF6" w:rsidP="009D2CF6">
      <w:pPr>
        <w:jc w:val="both"/>
        <w:rPr>
          <w:rFonts w:ascii="Humnst777 BT" w:hAnsi="Humnst777 BT" w:cs="Humnst777 BT"/>
          <w:sz w:val="22"/>
          <w:szCs w:val="22"/>
        </w:rPr>
      </w:pPr>
    </w:p>
    <w:p w:rsidR="002D045B" w:rsidRDefault="002D045B" w:rsidP="002D045B">
      <w:pPr>
        <w:jc w:val="both"/>
        <w:rPr>
          <w:rFonts w:ascii="Humnst777 BT" w:hAnsi="Humnst777 BT" w:cs="Humnst777 BT"/>
          <w:b/>
          <w:bCs/>
          <w:sz w:val="22"/>
          <w:szCs w:val="22"/>
        </w:rPr>
      </w:pPr>
      <w:r>
        <w:rPr>
          <w:rFonts w:ascii="Humnst777 BT" w:hAnsi="Humnst777 BT" w:cs="Humnst777 BT"/>
          <w:b/>
          <w:bCs/>
          <w:sz w:val="22"/>
          <w:szCs w:val="22"/>
        </w:rPr>
        <w:t>Besondere Vorsichtsmaßnahmen für die Entsorgung von nicht verwendeten Arzneimitteln oder von Abfallmaterialien, sofern erforderlich</w:t>
      </w:r>
    </w:p>
    <w:p w:rsidR="002D045B" w:rsidRDefault="002D045B" w:rsidP="002D045B">
      <w:pPr>
        <w:jc w:val="both"/>
        <w:rPr>
          <w:rFonts w:ascii="Humnst777 BT" w:hAnsi="Humnst777 BT" w:cs="Humnst777 BT"/>
          <w:sz w:val="22"/>
          <w:szCs w:val="22"/>
        </w:rPr>
      </w:pPr>
      <w:r>
        <w:rPr>
          <w:rFonts w:ascii="Humnst777 BT" w:hAnsi="Humnst777 BT" w:cs="Humnst777 BT"/>
          <w:sz w:val="22"/>
          <w:szCs w:val="22"/>
        </w:rPr>
        <w:t>Nicht aufgebrauchte Tierarzneimittel sind vorzugsweise bei Schadstoffsammelstellen abzugeben. Bei gemeinsamer Entsorgung mit dem Hausmüll ist sicherzustellen, dass kein missbräuchlicher Zugriff auf diese Abfälle erfolgen kann. Tierarzneimittel dürfen nicht mit dem Abwasser bzw. über die Kanalisation entsorgt werden.</w:t>
      </w:r>
    </w:p>
    <w:p w:rsidR="002D045B" w:rsidRDefault="002D045B">
      <w:pPr>
        <w:jc w:val="both"/>
        <w:rPr>
          <w:rFonts w:ascii="Humnst777 BT" w:hAnsi="Humnst777 BT" w:cs="Humnst777 BT"/>
          <w:sz w:val="22"/>
          <w:szCs w:val="22"/>
        </w:rPr>
      </w:pPr>
    </w:p>
    <w:p w:rsidR="00387A6A" w:rsidRDefault="002D045B">
      <w:pPr>
        <w:jc w:val="both"/>
        <w:rPr>
          <w:rFonts w:ascii="Humnst777 BT" w:hAnsi="Humnst777 BT" w:cs="Humnst777 BT"/>
          <w:b/>
          <w:bCs/>
          <w:sz w:val="22"/>
          <w:szCs w:val="22"/>
        </w:rPr>
      </w:pPr>
      <w:r>
        <w:rPr>
          <w:rFonts w:ascii="Humnst777 BT" w:hAnsi="Humnst777 BT" w:cs="Humnst777 BT"/>
          <w:b/>
          <w:bCs/>
          <w:sz w:val="22"/>
          <w:szCs w:val="22"/>
        </w:rPr>
        <w:t>Genehmigungsdatum der</w:t>
      </w:r>
      <w:r w:rsidR="00387A6A">
        <w:rPr>
          <w:rFonts w:ascii="Humnst777 BT" w:hAnsi="Humnst777 BT" w:cs="Humnst777 BT"/>
          <w:b/>
          <w:bCs/>
          <w:sz w:val="22"/>
          <w:szCs w:val="22"/>
        </w:rPr>
        <w:t xml:space="preserve"> Packungsbeilage</w:t>
      </w:r>
    </w:p>
    <w:p w:rsidR="00387A6A" w:rsidRDefault="00E92758">
      <w:pPr>
        <w:jc w:val="both"/>
        <w:rPr>
          <w:rFonts w:ascii="Humnst777 BT" w:hAnsi="Humnst777 BT" w:cs="Humnst777 BT"/>
          <w:sz w:val="22"/>
          <w:szCs w:val="22"/>
        </w:rPr>
      </w:pPr>
      <w:r>
        <w:rPr>
          <w:rFonts w:ascii="Humnst777 BT" w:hAnsi="Humnst777 BT" w:cs="Humnst777 BT"/>
          <w:sz w:val="22"/>
          <w:szCs w:val="22"/>
        </w:rPr>
        <w:t>10/2012</w:t>
      </w:r>
    </w:p>
    <w:p w:rsidR="002D045B" w:rsidRDefault="002D045B">
      <w:pPr>
        <w:jc w:val="both"/>
        <w:rPr>
          <w:rFonts w:ascii="Humnst777 BT" w:hAnsi="Humnst777 BT" w:cs="Humnst777 BT"/>
          <w:sz w:val="22"/>
          <w:szCs w:val="22"/>
        </w:rPr>
      </w:pPr>
    </w:p>
    <w:p w:rsidR="009D2CF6" w:rsidRDefault="009D2CF6">
      <w:pPr>
        <w:jc w:val="both"/>
        <w:rPr>
          <w:rFonts w:ascii="Humnst777 BT" w:hAnsi="Humnst777 BT" w:cs="Humnst777 BT"/>
          <w:sz w:val="22"/>
          <w:szCs w:val="22"/>
        </w:rPr>
      </w:pPr>
    </w:p>
    <w:p w:rsidR="002D045B" w:rsidRPr="002D045B" w:rsidRDefault="002D045B">
      <w:pPr>
        <w:jc w:val="both"/>
        <w:rPr>
          <w:rFonts w:ascii="Humnst777 BT" w:hAnsi="Humnst777 BT" w:cs="Humnst777 BT"/>
          <w:b/>
          <w:bCs/>
          <w:sz w:val="22"/>
          <w:szCs w:val="22"/>
          <w:u w:val="single"/>
        </w:rPr>
      </w:pPr>
      <w:r w:rsidRPr="002D045B">
        <w:rPr>
          <w:rFonts w:ascii="Humnst777 BT" w:hAnsi="Humnst777 BT" w:cs="Humnst777 BT"/>
          <w:b/>
          <w:bCs/>
          <w:sz w:val="22"/>
          <w:szCs w:val="22"/>
          <w:u w:val="single"/>
        </w:rPr>
        <w:lastRenderedPageBreak/>
        <w:t>Weitere Angaben</w:t>
      </w:r>
    </w:p>
    <w:p w:rsidR="002D045B" w:rsidRDefault="002D045B">
      <w:pPr>
        <w:jc w:val="both"/>
        <w:rPr>
          <w:rFonts w:ascii="Humnst777 BT" w:hAnsi="Humnst777 BT" w:cs="Humnst777 BT"/>
          <w:sz w:val="22"/>
          <w:szCs w:val="22"/>
        </w:rPr>
      </w:pPr>
    </w:p>
    <w:p w:rsidR="00F87D3A" w:rsidRDefault="002D045B" w:rsidP="00F87D3A">
      <w:pPr>
        <w:rPr>
          <w:rFonts w:ascii="Humnst777 BT" w:hAnsi="Humnst777 BT" w:cs="Humnst777 BT"/>
          <w:b/>
          <w:bCs/>
          <w:sz w:val="22"/>
          <w:szCs w:val="22"/>
        </w:rPr>
      </w:pPr>
      <w:r>
        <w:rPr>
          <w:rFonts w:ascii="Humnst777 BT" w:hAnsi="Humnst777 BT" w:cs="Humnst777 BT"/>
          <w:b/>
          <w:bCs/>
          <w:sz w:val="22"/>
          <w:szCs w:val="22"/>
        </w:rPr>
        <w:t>Packungsgrößen</w:t>
      </w:r>
    </w:p>
    <w:p w:rsidR="009D2CF6" w:rsidRPr="009D2CF6" w:rsidRDefault="009D2CF6" w:rsidP="009D2CF6">
      <w:pPr>
        <w:jc w:val="both"/>
        <w:rPr>
          <w:rFonts w:ascii="Humnst777 BT" w:hAnsi="Humnst777 BT" w:cs="Humnst777 BT"/>
          <w:sz w:val="22"/>
          <w:szCs w:val="22"/>
        </w:rPr>
      </w:pPr>
      <w:r w:rsidRPr="009D2CF6">
        <w:rPr>
          <w:rFonts w:ascii="Humnst777 BT" w:hAnsi="Humnst777 BT" w:cs="Humnst777 BT"/>
          <w:sz w:val="22"/>
          <w:szCs w:val="22"/>
        </w:rPr>
        <w:t>1 Polyethylen (PE)-Flasche mit Dosierpumpe mit 355 ml Gel zum Eingeben.</w:t>
      </w:r>
    </w:p>
    <w:p w:rsidR="009D2CF6" w:rsidRPr="009D2CF6" w:rsidRDefault="009D2CF6" w:rsidP="009D2CF6">
      <w:pPr>
        <w:jc w:val="both"/>
        <w:rPr>
          <w:rFonts w:ascii="Humnst777 BT" w:hAnsi="Humnst777 BT" w:cs="Humnst777 BT"/>
          <w:sz w:val="22"/>
          <w:szCs w:val="22"/>
        </w:rPr>
      </w:pPr>
      <w:r w:rsidRPr="009D2CF6">
        <w:rPr>
          <w:rFonts w:ascii="Humnst777 BT" w:hAnsi="Humnst777 BT" w:cs="Humnst777 BT"/>
          <w:sz w:val="22"/>
          <w:szCs w:val="22"/>
        </w:rPr>
        <w:t>6 Polyethylen (PE)-Flaschen mit Dosierpumpe mit 355 ml Gel zum Eingeben.</w:t>
      </w:r>
    </w:p>
    <w:p w:rsidR="009D2CF6" w:rsidRPr="009D2CF6" w:rsidRDefault="009D2CF6" w:rsidP="009D2CF6">
      <w:pPr>
        <w:jc w:val="both"/>
        <w:rPr>
          <w:rFonts w:ascii="Humnst777 BT" w:hAnsi="Humnst777 BT" w:cs="Humnst777 BT"/>
          <w:sz w:val="22"/>
          <w:szCs w:val="22"/>
        </w:rPr>
      </w:pPr>
      <w:r w:rsidRPr="009D2CF6">
        <w:rPr>
          <w:rFonts w:ascii="Humnst777 BT" w:hAnsi="Humnst777 BT" w:cs="Humnst777 BT"/>
          <w:sz w:val="22"/>
          <w:szCs w:val="22"/>
        </w:rPr>
        <w:t>12 Polyethylen (PE)-Flaschen mit Dosierpumpe mit 355 ml Gel zum Eingeben.</w:t>
      </w:r>
    </w:p>
    <w:p w:rsidR="00387A6A" w:rsidRDefault="006677E7">
      <w:pPr>
        <w:jc w:val="both"/>
        <w:rPr>
          <w:rFonts w:ascii="Humnst777 BT" w:hAnsi="Humnst777 BT" w:cs="Humnst777 BT"/>
          <w:sz w:val="22"/>
          <w:szCs w:val="22"/>
        </w:rPr>
      </w:pPr>
      <w:r>
        <w:rPr>
          <w:rFonts w:ascii="Humnst777 BT" w:hAnsi="Humnst777 BT" w:cs="Humnst777 BT"/>
          <w:sz w:val="22"/>
          <w:szCs w:val="22"/>
        </w:rPr>
        <w:t>Es werden evtl. nicht alle Packungsgrößen vermarktet.</w:t>
      </w:r>
    </w:p>
    <w:p w:rsidR="006677E7" w:rsidRDefault="006677E7">
      <w:pPr>
        <w:jc w:val="both"/>
        <w:rPr>
          <w:rFonts w:ascii="Humnst777 BT" w:hAnsi="Humnst777 BT" w:cs="Humnst777 BT"/>
          <w:sz w:val="22"/>
          <w:szCs w:val="22"/>
        </w:rPr>
      </w:pPr>
    </w:p>
    <w:sectPr w:rsidR="006677E7">
      <w:head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B6" w:rsidRDefault="00EB72B6">
      <w:r>
        <w:separator/>
      </w:r>
    </w:p>
  </w:endnote>
  <w:endnote w:type="continuationSeparator" w:id="0">
    <w:p w:rsidR="00EB72B6" w:rsidRDefault="00EB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B6" w:rsidRDefault="00EB72B6">
      <w:r>
        <w:separator/>
      </w:r>
    </w:p>
  </w:footnote>
  <w:footnote w:type="continuationSeparator" w:id="0">
    <w:p w:rsidR="00EB72B6" w:rsidRDefault="00EB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D3" w:rsidRDefault="00F728D3">
    <w:pPr>
      <w:pStyle w:val="Pis"/>
      <w:rPr>
        <w:rFonts w:ascii="Humnst777 BT" w:hAnsi="Humnst777 BT" w:cs="Humnst777 BT"/>
        <w:b/>
        <w:bCs/>
        <w:sz w:val="18"/>
        <w:szCs w:val="18"/>
      </w:rPr>
    </w:pPr>
    <w:r>
      <w:rPr>
        <w:rFonts w:ascii="Humnst777 BT" w:hAnsi="Humnst777 BT" w:cs="Humnst777 BT"/>
        <w:b/>
        <w:bCs/>
        <w:sz w:val="16"/>
        <w:szCs w:val="16"/>
      </w:rPr>
      <w:t>Texte_Gebrauchsinfo_</w:t>
    </w:r>
    <w:r w:rsidRPr="00787987">
      <w:rPr>
        <w:rFonts w:ascii="Humnst777 BT" w:hAnsi="Humnst777 BT"/>
        <w:b/>
        <w:sz w:val="18"/>
        <w:szCs w:val="18"/>
      </w:rPr>
      <w:t xml:space="preserve"> </w:t>
    </w:r>
    <w:r w:rsidRPr="005314C6">
      <w:rPr>
        <w:rFonts w:ascii="Humnst777 BT" w:hAnsi="Humnst777 BT"/>
        <w:b/>
        <w:sz w:val="18"/>
        <w:szCs w:val="18"/>
      </w:rPr>
      <w:t>Equipulmin</w:t>
    </w:r>
    <w:r w:rsidRPr="005314C6">
      <w:rPr>
        <w:rFonts w:ascii="Humnst777 BT" w:hAnsi="Humnst777 BT"/>
        <w:b/>
        <w:snapToGrid w:val="0"/>
        <w:sz w:val="18"/>
        <w:szCs w:val="18"/>
        <w:vertAlign w:val="superscript"/>
      </w:rPr>
      <w:t>®</w:t>
    </w:r>
    <w:r w:rsidRPr="005314C6">
      <w:rPr>
        <w:rFonts w:ascii="Humnst777 BT" w:hAnsi="Humnst777 BT"/>
        <w:b/>
        <w:snapToGrid w:val="0"/>
        <w:sz w:val="18"/>
        <w:szCs w:val="18"/>
      </w:rPr>
      <w:t xml:space="preserve"> Gel</w:t>
    </w:r>
    <w:r>
      <w:rPr>
        <w:rFonts w:ascii="Humnst777 BT" w:hAnsi="Humnst777 BT" w:cs="Humnst777 BT"/>
        <w:b/>
        <w:bCs/>
        <w:sz w:val="18"/>
        <w:szCs w:val="18"/>
      </w:rPr>
      <w:tab/>
    </w:r>
    <w:r>
      <w:rPr>
        <w:rFonts w:ascii="Humnst777 BT" w:hAnsi="Humnst777 BT" w:cs="Humnst777 BT"/>
        <w:b/>
        <w:bCs/>
        <w:sz w:val="18"/>
        <w:szCs w:val="18"/>
      </w:rPr>
      <w:tab/>
      <w:t>CP-Pharma GmbH</w:t>
    </w:r>
  </w:p>
  <w:p w:rsidR="00F728D3" w:rsidRDefault="00F728D3">
    <w:pPr>
      <w:pStyle w:val="Pis"/>
      <w:pBdr>
        <w:bottom w:val="single" w:sz="8" w:space="1" w:color="auto"/>
      </w:pBdr>
      <w:rPr>
        <w:rFonts w:ascii="Humnst777 BT" w:hAnsi="Humnst777 BT" w:cs="Humnst777 BT"/>
        <w:sz w:val="16"/>
        <w:szCs w:val="16"/>
      </w:rPr>
    </w:pPr>
    <w:r>
      <w:rPr>
        <w:rFonts w:ascii="Humnst777 BT" w:hAnsi="Humnst777 BT" w:cs="Humnst777 BT"/>
        <w:snapToGrid w:val="0"/>
        <w:sz w:val="16"/>
        <w:szCs w:val="16"/>
      </w:rPr>
      <w:t xml:space="preserve">Seite </w:t>
    </w:r>
    <w:r>
      <w:rPr>
        <w:rFonts w:ascii="Humnst777 BT" w:hAnsi="Humnst777 BT" w:cs="Humnst777 BT"/>
        <w:snapToGrid w:val="0"/>
        <w:sz w:val="16"/>
        <w:szCs w:val="16"/>
      </w:rPr>
      <w:fldChar w:fldCharType="begin"/>
    </w:r>
    <w:r>
      <w:rPr>
        <w:rFonts w:ascii="Humnst777 BT" w:hAnsi="Humnst777 BT" w:cs="Humnst777 BT"/>
        <w:snapToGrid w:val="0"/>
        <w:sz w:val="16"/>
        <w:szCs w:val="16"/>
      </w:rPr>
      <w:instrText xml:space="preserve"> PAGE </w:instrText>
    </w:r>
    <w:r>
      <w:rPr>
        <w:rFonts w:ascii="Humnst777 BT" w:hAnsi="Humnst777 BT" w:cs="Humnst777 BT"/>
        <w:snapToGrid w:val="0"/>
        <w:sz w:val="16"/>
        <w:szCs w:val="16"/>
      </w:rPr>
      <w:fldChar w:fldCharType="separate"/>
    </w:r>
    <w:r w:rsidR="00A3457E">
      <w:rPr>
        <w:rFonts w:ascii="Humnst777 BT" w:hAnsi="Humnst777 BT" w:cs="Humnst777 BT"/>
        <w:noProof/>
        <w:snapToGrid w:val="0"/>
        <w:sz w:val="16"/>
        <w:szCs w:val="16"/>
      </w:rPr>
      <w:t>4</w:t>
    </w:r>
    <w:r>
      <w:rPr>
        <w:rFonts w:ascii="Humnst777 BT" w:hAnsi="Humnst777 BT" w:cs="Humnst777 BT"/>
        <w:snapToGrid w:val="0"/>
        <w:sz w:val="16"/>
        <w:szCs w:val="16"/>
      </w:rPr>
      <w:fldChar w:fldCharType="end"/>
    </w:r>
    <w:r>
      <w:rPr>
        <w:rFonts w:ascii="Humnst777 BT" w:hAnsi="Humnst777 BT" w:cs="Humnst777 BT"/>
        <w:snapToGrid w:val="0"/>
        <w:sz w:val="16"/>
        <w:szCs w:val="16"/>
      </w:rPr>
      <w:t xml:space="preserve"> von 4</w:t>
    </w:r>
    <w:r>
      <w:rPr>
        <w:rFonts w:ascii="Humnst777 BT" w:hAnsi="Humnst777 BT" w:cs="Humnst777 BT"/>
        <w:snapToGrid w:val="0"/>
        <w:sz w:val="16"/>
        <w:szCs w:val="16"/>
      </w:rPr>
      <w:tab/>
    </w:r>
    <w:r>
      <w:rPr>
        <w:rFonts w:ascii="Humnst777 BT" w:hAnsi="Humnst777 BT" w:cs="Humnst777 BT"/>
        <w:snapToGrid w:val="0"/>
        <w:sz w:val="16"/>
        <w:szCs w:val="16"/>
      </w:rPr>
      <w:tab/>
      <w:t>Stand: 10_2012</w:t>
    </w:r>
  </w:p>
  <w:p w:rsidR="00F728D3" w:rsidRDefault="00F728D3">
    <w:pPr>
      <w:pStyle w:val="Pis"/>
      <w:rPr>
        <w:rFonts w:ascii="Humnst777 BT" w:hAnsi="Humnst777 BT" w:cs="Humnst777 BT"/>
        <w:sz w:val="18"/>
        <w:szCs w:val="18"/>
      </w:rPr>
    </w:pPr>
  </w:p>
  <w:p w:rsidR="00F728D3" w:rsidRDefault="00F728D3">
    <w:pPr>
      <w:pStyle w:val="Pis"/>
      <w:rPr>
        <w:rFonts w:ascii="Humnst777 BT" w:hAnsi="Humnst777 BT" w:cs="Humnst777 B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8D"/>
    <w:rsid w:val="00003CFC"/>
    <w:rsid w:val="00016546"/>
    <w:rsid w:val="000447C8"/>
    <w:rsid w:val="00073DF6"/>
    <w:rsid w:val="000778B4"/>
    <w:rsid w:val="00083A6C"/>
    <w:rsid w:val="000B42D8"/>
    <w:rsid w:val="000D322E"/>
    <w:rsid w:val="000D3434"/>
    <w:rsid w:val="000D63FF"/>
    <w:rsid w:val="00106959"/>
    <w:rsid w:val="00233C9D"/>
    <w:rsid w:val="00234A92"/>
    <w:rsid w:val="002618EA"/>
    <w:rsid w:val="002730C0"/>
    <w:rsid w:val="00296918"/>
    <w:rsid w:val="002D045B"/>
    <w:rsid w:val="002E234A"/>
    <w:rsid w:val="00374B4A"/>
    <w:rsid w:val="00387A6A"/>
    <w:rsid w:val="003D03AF"/>
    <w:rsid w:val="0040118A"/>
    <w:rsid w:val="00404247"/>
    <w:rsid w:val="004E1C0B"/>
    <w:rsid w:val="00523A42"/>
    <w:rsid w:val="005314C6"/>
    <w:rsid w:val="00562BCA"/>
    <w:rsid w:val="0059676E"/>
    <w:rsid w:val="005B387B"/>
    <w:rsid w:val="00652E80"/>
    <w:rsid w:val="006677E7"/>
    <w:rsid w:val="006A0F22"/>
    <w:rsid w:val="00761CC5"/>
    <w:rsid w:val="007859C3"/>
    <w:rsid w:val="00787987"/>
    <w:rsid w:val="007A308E"/>
    <w:rsid w:val="00881E7F"/>
    <w:rsid w:val="00887F56"/>
    <w:rsid w:val="008F6B1C"/>
    <w:rsid w:val="009068C5"/>
    <w:rsid w:val="00921E9D"/>
    <w:rsid w:val="009355F7"/>
    <w:rsid w:val="00943D47"/>
    <w:rsid w:val="00951FB3"/>
    <w:rsid w:val="009D2CF6"/>
    <w:rsid w:val="00A008E7"/>
    <w:rsid w:val="00A05DC6"/>
    <w:rsid w:val="00A10C81"/>
    <w:rsid w:val="00A235CB"/>
    <w:rsid w:val="00A3457E"/>
    <w:rsid w:val="00A371DF"/>
    <w:rsid w:val="00A60C21"/>
    <w:rsid w:val="00A944FA"/>
    <w:rsid w:val="00AC2A28"/>
    <w:rsid w:val="00B02874"/>
    <w:rsid w:val="00B10F8D"/>
    <w:rsid w:val="00B848CF"/>
    <w:rsid w:val="00BC0C20"/>
    <w:rsid w:val="00C77812"/>
    <w:rsid w:val="00CC69CA"/>
    <w:rsid w:val="00CC73D2"/>
    <w:rsid w:val="00CD48A5"/>
    <w:rsid w:val="00CE5E1C"/>
    <w:rsid w:val="00D95B3B"/>
    <w:rsid w:val="00D9739D"/>
    <w:rsid w:val="00DF373E"/>
    <w:rsid w:val="00DF5791"/>
    <w:rsid w:val="00E84B7A"/>
    <w:rsid w:val="00E92758"/>
    <w:rsid w:val="00EB72B6"/>
    <w:rsid w:val="00F728D3"/>
    <w:rsid w:val="00F87D3A"/>
    <w:rsid w:val="00FD15BC"/>
    <w:rsid w:val="00FD4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CCCAA3-8EB7-46D6-90B2-768D3ABA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40" w:lineRule="auto"/>
    </w:pPr>
    <w:rPr>
      <w:sz w:val="24"/>
      <w:szCs w:val="24"/>
      <w:lang w:val="de-DE" w:eastAsia="de-DE"/>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536"/>
        <w:tab w:val="right" w:pos="9072"/>
      </w:tabs>
    </w:pPr>
  </w:style>
  <w:style w:type="paragraph" w:styleId="Jalus">
    <w:name w:val="footer"/>
    <w:basedOn w:val="Normaallaad"/>
    <w:link w:val="JalusMrk"/>
    <w:uiPriority w:val="99"/>
    <w:pPr>
      <w:tabs>
        <w:tab w:val="center" w:pos="4536"/>
        <w:tab w:val="right" w:pos="9072"/>
      </w:tabs>
    </w:pPr>
  </w:style>
  <w:style w:type="character" w:customStyle="1" w:styleId="PisMrk">
    <w:name w:val="Päis Märk"/>
    <w:basedOn w:val="Liguvaikefont"/>
    <w:link w:val="Pis"/>
    <w:uiPriority w:val="99"/>
    <w:semiHidden/>
    <w:locked/>
    <w:rPr>
      <w:rFonts w:cs="Times New Roman"/>
      <w:sz w:val="24"/>
      <w:szCs w:val="24"/>
    </w:rPr>
  </w:style>
  <w:style w:type="paragraph" w:styleId="Kehatekst">
    <w:name w:val="Body Text"/>
    <w:basedOn w:val="Normaallaad"/>
    <w:link w:val="KehatekstMrk"/>
    <w:uiPriority w:val="99"/>
    <w:rsid w:val="00CE5E1C"/>
    <w:pPr>
      <w:jc w:val="both"/>
    </w:pPr>
    <w:rPr>
      <w:sz w:val="22"/>
      <w:szCs w:val="22"/>
      <w:lang w:val="en-GB"/>
    </w:rPr>
  </w:style>
  <w:style w:type="character" w:customStyle="1" w:styleId="JalusMrk">
    <w:name w:val="Jalus Märk"/>
    <w:basedOn w:val="Liguvaikefont"/>
    <w:link w:val="Jalus"/>
    <w:uiPriority w:val="99"/>
    <w:semiHidden/>
    <w:locked/>
    <w:rPr>
      <w:rFonts w:cs="Times New Roman"/>
      <w:sz w:val="24"/>
      <w:szCs w:val="24"/>
    </w:rPr>
  </w:style>
  <w:style w:type="character" w:customStyle="1" w:styleId="KehatekstMrk">
    <w:name w:val="Kehatekst Märk"/>
    <w:basedOn w:val="Liguvaikefont"/>
    <w:link w:val="Kehatekst"/>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5540</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Gebrauchsinformation</vt:lpstr>
    </vt:vector>
  </TitlesOfParts>
  <Company>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Gebrauchsinformation</dc:title>
  <dc:subject>Amoxicillin Dosierer 20</dc:subject>
  <dc:creator>Klaus Jantzen</dc:creator>
  <cp:keywords/>
  <dc:description/>
  <cp:lastModifiedBy>Indrek Kuklane</cp:lastModifiedBy>
  <cp:revision>2</cp:revision>
  <cp:lastPrinted>2009-05-05T14:04:00Z</cp:lastPrinted>
  <dcterms:created xsi:type="dcterms:W3CDTF">2023-08-15T08:08:00Z</dcterms:created>
  <dcterms:modified xsi:type="dcterms:W3CDTF">2023-08-15T08:08:00Z</dcterms:modified>
</cp:coreProperties>
</file>